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color w:val="auto"/>
          <w:highlight w:val="none"/>
        </w:rPr>
      </w:pPr>
    </w:p>
    <w:p>
      <w:pPr>
        <w:pStyle w:val="4"/>
        <w:rPr>
          <w:rFonts w:hint="eastAsia" w:ascii="微软雅黑" w:hAnsi="微软雅黑" w:eastAsia="微软雅黑" w:cs="微软雅黑"/>
          <w:color w:val="auto"/>
          <w:highlight w:val="none"/>
        </w:rPr>
      </w:pPr>
    </w:p>
    <w:p>
      <w:pPr>
        <w:pStyle w:val="5"/>
        <w:rPr>
          <w:rFonts w:hint="eastAsia" w:ascii="微软雅黑" w:hAnsi="微软雅黑" w:eastAsia="微软雅黑" w:cs="微软雅黑"/>
          <w:color w:val="auto"/>
          <w:highlight w:val="none"/>
        </w:rPr>
      </w:pPr>
    </w:p>
    <w:p>
      <w:pPr>
        <w:rPr>
          <w:color w:val="auto"/>
          <w:highlight w:val="none"/>
        </w:rPr>
      </w:pPr>
    </w:p>
    <w:p>
      <w:pPr>
        <w:spacing w:line="780" w:lineRule="exact"/>
        <w:jc w:val="center"/>
        <w:rPr>
          <w:rFonts w:hint="eastAsia" w:ascii="微软雅黑" w:hAnsi="微软雅黑" w:eastAsia="微软雅黑" w:cs="微软雅黑"/>
          <w:b/>
          <w:bCs/>
          <w:color w:val="auto"/>
          <w:sz w:val="36"/>
          <w:szCs w:val="36"/>
          <w:highlight w:val="none"/>
        </w:rPr>
      </w:pPr>
      <w:r>
        <w:rPr>
          <w:rFonts w:hint="eastAsia" w:ascii="微软雅黑" w:hAnsi="微软雅黑" w:eastAsia="微软雅黑" w:cs="微软雅黑"/>
          <w:b/>
          <w:bCs/>
          <w:color w:val="auto"/>
          <w:sz w:val="36"/>
          <w:szCs w:val="36"/>
          <w:highlight w:val="none"/>
        </w:rPr>
        <w:t>重庆两江新区人民医院</w:t>
      </w:r>
    </w:p>
    <w:p>
      <w:pPr>
        <w:spacing w:line="780" w:lineRule="exact"/>
        <w:jc w:val="center"/>
        <w:rPr>
          <w:rFonts w:hint="eastAsia" w:ascii="微软雅黑" w:hAnsi="微软雅黑" w:eastAsia="微软雅黑" w:cs="微软雅黑"/>
          <w:b/>
          <w:bCs/>
          <w:color w:val="auto"/>
          <w:sz w:val="36"/>
          <w:szCs w:val="36"/>
          <w:highlight w:val="none"/>
        </w:rPr>
      </w:pPr>
      <w:r>
        <w:rPr>
          <w:rFonts w:hint="eastAsia" w:ascii="微软雅黑" w:hAnsi="微软雅黑" w:eastAsia="微软雅黑" w:cs="微软雅黑"/>
          <w:b/>
          <w:bCs/>
          <w:color w:val="auto"/>
          <w:sz w:val="36"/>
          <w:szCs w:val="36"/>
          <w:highlight w:val="none"/>
        </w:rPr>
        <w:t>招标代理服务机构遴选项目竞争性比选文件</w:t>
      </w:r>
    </w:p>
    <w:p>
      <w:pPr>
        <w:spacing w:line="700" w:lineRule="exact"/>
        <w:jc w:val="center"/>
        <w:rPr>
          <w:rFonts w:hint="eastAsia" w:ascii="微软雅黑" w:hAnsi="微软雅黑" w:eastAsia="微软雅黑" w:cs="微软雅黑"/>
          <w:color w:val="auto"/>
          <w:sz w:val="32"/>
          <w:highlight w:val="none"/>
        </w:rPr>
      </w:pPr>
    </w:p>
    <w:p>
      <w:pPr>
        <w:pStyle w:val="10"/>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pStyle w:val="11"/>
        <w:rPr>
          <w:color w:val="auto"/>
          <w:highlight w:val="none"/>
        </w:rPr>
      </w:pPr>
    </w:p>
    <w:p>
      <w:pPr>
        <w:rPr>
          <w:color w:val="auto"/>
          <w:highlight w:val="none"/>
        </w:rPr>
      </w:pPr>
    </w:p>
    <w:p>
      <w:pPr>
        <w:pStyle w:val="4"/>
        <w:rPr>
          <w:color w:val="auto"/>
          <w:highlight w:val="none"/>
        </w:rPr>
      </w:pPr>
    </w:p>
    <w:p>
      <w:pPr>
        <w:jc w:val="center"/>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 w:val="30"/>
          <w:szCs w:val="30"/>
          <w:highlight w:val="none"/>
        </w:rPr>
        <w:t>采购人：重庆两江新区人民医院</w:t>
      </w:r>
    </w:p>
    <w:p>
      <w:pPr>
        <w:spacing w:line="720" w:lineRule="exact"/>
        <w:jc w:val="center"/>
        <w:outlineLvl w:val="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 xml:space="preserve">   二〇二五年五月</w:t>
      </w:r>
    </w:p>
    <w:p>
      <w:pPr>
        <w:spacing w:line="480" w:lineRule="exact"/>
        <w:jc w:val="center"/>
        <w:outlineLvl w:val="0"/>
        <w:rPr>
          <w:rFonts w:hint="eastAsia" w:ascii="微软雅黑" w:hAnsi="微软雅黑" w:eastAsia="微软雅黑" w:cs="微软雅黑"/>
          <w:color w:val="auto"/>
          <w:sz w:val="44"/>
          <w:szCs w:val="28"/>
          <w:highlight w:val="none"/>
        </w:rPr>
      </w:pPr>
    </w:p>
    <w:p>
      <w:pPr>
        <w:pStyle w:val="5"/>
        <w:rPr>
          <w:rFonts w:hint="eastAsia" w:ascii="微软雅黑" w:hAnsi="微软雅黑" w:eastAsia="微软雅黑" w:cs="微软雅黑"/>
          <w:color w:val="auto"/>
          <w:sz w:val="44"/>
          <w:szCs w:val="28"/>
          <w:highlight w:val="none"/>
        </w:rPr>
      </w:pPr>
    </w:p>
    <w:p>
      <w:pPr>
        <w:rPr>
          <w:rFonts w:hint="eastAsia" w:ascii="微软雅黑" w:hAnsi="微软雅黑" w:eastAsia="微软雅黑" w:cs="微软雅黑"/>
          <w:color w:val="auto"/>
          <w:sz w:val="44"/>
          <w:szCs w:val="28"/>
          <w:highlight w:val="none"/>
        </w:rPr>
      </w:pPr>
    </w:p>
    <w:p>
      <w:pPr>
        <w:pStyle w:val="4"/>
        <w:rPr>
          <w:rFonts w:hint="eastAsia" w:ascii="微软雅黑" w:hAnsi="微软雅黑" w:eastAsia="微软雅黑" w:cs="微软雅黑"/>
          <w:color w:val="auto"/>
          <w:sz w:val="44"/>
          <w:szCs w:val="28"/>
          <w:highlight w:val="none"/>
        </w:rPr>
      </w:pPr>
    </w:p>
    <w:p>
      <w:pPr>
        <w:pStyle w:val="5"/>
        <w:rPr>
          <w:rFonts w:hint="eastAsia" w:ascii="微软雅黑" w:hAnsi="微软雅黑" w:eastAsia="微软雅黑" w:cs="微软雅黑"/>
          <w:color w:val="auto"/>
          <w:sz w:val="44"/>
          <w:szCs w:val="28"/>
          <w:highlight w:val="none"/>
        </w:rPr>
      </w:pPr>
    </w:p>
    <w:p>
      <w:pPr>
        <w:pStyle w:val="5"/>
        <w:rPr>
          <w:color w:val="auto"/>
          <w:highlight w:val="none"/>
        </w:rPr>
      </w:pPr>
      <w:r>
        <w:rPr>
          <w:rFonts w:hint="eastAsia"/>
          <w:color w:val="auto"/>
          <w:highlight w:val="none"/>
        </w:rPr>
        <w:br w:type="page"/>
      </w:r>
    </w:p>
    <w:p>
      <w:pPr>
        <w:spacing w:line="480" w:lineRule="exact"/>
        <w:jc w:val="center"/>
        <w:outlineLvl w:val="0"/>
        <w:rPr>
          <w:rFonts w:hint="eastAsia" w:ascii="微软雅黑" w:hAnsi="微软雅黑" w:eastAsia="微软雅黑" w:cs="微软雅黑"/>
          <w:color w:val="auto"/>
          <w:sz w:val="44"/>
          <w:szCs w:val="28"/>
          <w:highlight w:val="none"/>
        </w:rPr>
      </w:pPr>
      <w:r>
        <w:rPr>
          <w:rFonts w:hint="eastAsia" w:ascii="微软雅黑" w:hAnsi="微软雅黑" w:eastAsia="微软雅黑" w:cs="微软雅黑"/>
          <w:color w:val="auto"/>
          <w:sz w:val="44"/>
          <w:szCs w:val="28"/>
          <w:highlight w:val="none"/>
        </w:rPr>
        <w:t>目   录</w:t>
      </w:r>
    </w:p>
    <w:p>
      <w:pPr>
        <w:pStyle w:val="12"/>
        <w:tabs>
          <w:tab w:val="right" w:leader="dot" w:pos="9412"/>
        </w:tabs>
        <w:ind w:left="560"/>
        <w:rPr>
          <w:color w:val="auto"/>
          <w:highlight w:val="none"/>
        </w:rPr>
      </w:pPr>
      <w:r>
        <w:rPr>
          <w:rFonts w:hint="eastAsia" w:ascii="微软雅黑" w:hAnsi="微软雅黑" w:eastAsia="微软雅黑" w:cs="微软雅黑"/>
          <w:color w:val="auto"/>
          <w:sz w:val="21"/>
          <w:szCs w:val="21"/>
          <w:highlight w:val="none"/>
        </w:rPr>
        <w:fldChar w:fldCharType="begin"/>
      </w:r>
      <w:r>
        <w:rPr>
          <w:rFonts w:hint="eastAsia" w:ascii="微软雅黑" w:hAnsi="微软雅黑" w:eastAsia="微软雅黑" w:cs="微软雅黑"/>
          <w:color w:val="auto"/>
          <w:sz w:val="21"/>
          <w:szCs w:val="21"/>
          <w:highlight w:val="none"/>
        </w:rPr>
        <w:instrText xml:space="preserve"> TOC \o "1-3" \h \z </w:instrText>
      </w:r>
      <w:r>
        <w:rPr>
          <w:rFonts w:hint="eastAsia" w:ascii="微软雅黑" w:hAnsi="微软雅黑" w:eastAsia="微软雅黑" w:cs="微软雅黑"/>
          <w:color w:val="auto"/>
          <w:sz w:val="21"/>
          <w:szCs w:val="21"/>
          <w:highlight w:val="none"/>
        </w:rPr>
        <w:fldChar w:fldCharType="separate"/>
      </w:r>
      <w:r>
        <w:rPr>
          <w:color w:val="auto"/>
          <w:highlight w:val="none"/>
        </w:rPr>
        <w:fldChar w:fldCharType="begin"/>
      </w:r>
      <w:r>
        <w:rPr>
          <w:color w:val="auto"/>
          <w:highlight w:val="none"/>
        </w:rPr>
        <w:instrText xml:space="preserve"> HYPERLINK \l "_Toc20184" </w:instrText>
      </w:r>
      <w:r>
        <w:rPr>
          <w:color w:val="auto"/>
          <w:highlight w:val="none"/>
        </w:rPr>
        <w:fldChar w:fldCharType="separate"/>
      </w:r>
      <w:r>
        <w:rPr>
          <w:rFonts w:hint="eastAsia" w:ascii="微软雅黑" w:hAnsi="微软雅黑" w:eastAsia="微软雅黑" w:cs="微软雅黑"/>
          <w:color w:val="auto"/>
          <w:szCs w:val="30"/>
          <w:highlight w:val="none"/>
        </w:rPr>
        <w:t>第一篇  比选邀请书</w:t>
      </w:r>
      <w:r>
        <w:rPr>
          <w:color w:val="auto"/>
          <w:highlight w:val="none"/>
        </w:rPr>
        <w:tab/>
      </w:r>
      <w:r>
        <w:rPr>
          <w:color w:val="auto"/>
          <w:highlight w:val="none"/>
        </w:rPr>
        <w:fldChar w:fldCharType="begin"/>
      </w:r>
      <w:r>
        <w:rPr>
          <w:color w:val="auto"/>
          <w:highlight w:val="none"/>
        </w:rPr>
        <w:instrText xml:space="preserve"> PAGEREF _Toc20184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"_Toc16818" </w:instrText>
      </w:r>
      <w:r>
        <w:rPr>
          <w:color w:val="auto"/>
          <w:highlight w:val="none"/>
        </w:rPr>
        <w:fldChar w:fldCharType="separate"/>
      </w:r>
      <w:r>
        <w:rPr>
          <w:rFonts w:hint="eastAsia" w:ascii="微软雅黑" w:hAnsi="微软雅黑" w:eastAsia="微软雅黑" w:cs="微软雅黑"/>
          <w:color w:val="auto"/>
          <w:szCs w:val="24"/>
          <w:highlight w:val="none"/>
        </w:rPr>
        <w:t>一、竞争性比选内容</w:t>
      </w:r>
      <w:r>
        <w:rPr>
          <w:color w:val="auto"/>
          <w:highlight w:val="none"/>
        </w:rPr>
        <w:tab/>
      </w:r>
      <w:r>
        <w:rPr>
          <w:color w:val="auto"/>
          <w:highlight w:val="none"/>
        </w:rPr>
        <w:fldChar w:fldCharType="begin"/>
      </w:r>
      <w:r>
        <w:rPr>
          <w:color w:val="auto"/>
          <w:highlight w:val="none"/>
        </w:rPr>
        <w:instrText xml:space="preserve"> PAGEREF _Toc16818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"_Toc10048" </w:instrText>
      </w:r>
      <w:r>
        <w:rPr>
          <w:color w:val="auto"/>
          <w:highlight w:val="none"/>
        </w:rPr>
        <w:fldChar w:fldCharType="separate"/>
      </w:r>
      <w:r>
        <w:rPr>
          <w:rFonts w:hint="eastAsia" w:ascii="微软雅黑" w:hAnsi="微软雅黑" w:eastAsia="微软雅黑" w:cs="微软雅黑"/>
          <w:color w:val="auto"/>
          <w:szCs w:val="24"/>
          <w:highlight w:val="none"/>
        </w:rPr>
        <w:t>二、代理机构资格条件</w:t>
      </w:r>
      <w:r>
        <w:rPr>
          <w:color w:val="auto"/>
          <w:highlight w:val="none"/>
        </w:rPr>
        <w:tab/>
      </w:r>
      <w:r>
        <w:rPr>
          <w:color w:val="auto"/>
          <w:highlight w:val="none"/>
        </w:rPr>
        <w:fldChar w:fldCharType="begin"/>
      </w:r>
      <w:r>
        <w:rPr>
          <w:color w:val="auto"/>
          <w:highlight w:val="none"/>
        </w:rPr>
        <w:instrText xml:space="preserve"> PAGEREF _Toc10048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"_Toc18033" </w:instrText>
      </w:r>
      <w:r>
        <w:rPr>
          <w:color w:val="auto"/>
          <w:highlight w:val="none"/>
        </w:rPr>
        <w:fldChar w:fldCharType="separate"/>
      </w:r>
      <w:r>
        <w:rPr>
          <w:rFonts w:hint="eastAsia" w:ascii="微软雅黑" w:hAnsi="微软雅黑" w:eastAsia="微软雅黑" w:cs="微软雅黑"/>
          <w:color w:val="auto"/>
          <w:szCs w:val="24"/>
          <w:highlight w:val="none"/>
        </w:rPr>
        <w:t>三、比选有关说明</w:t>
      </w:r>
      <w:r>
        <w:rPr>
          <w:color w:val="auto"/>
          <w:highlight w:val="none"/>
        </w:rPr>
        <w:tab/>
      </w:r>
      <w:r>
        <w:rPr>
          <w:color w:val="auto"/>
          <w:highlight w:val="none"/>
        </w:rPr>
        <w:fldChar w:fldCharType="begin"/>
      </w:r>
      <w:r>
        <w:rPr>
          <w:color w:val="auto"/>
          <w:highlight w:val="none"/>
        </w:rPr>
        <w:instrText xml:space="preserve"> PAGEREF _Toc18033 \h </w:instrText>
      </w:r>
      <w:r>
        <w:rPr>
          <w:color w:val="auto"/>
          <w:highlight w:val="none"/>
        </w:rPr>
        <w:fldChar w:fldCharType="separate"/>
      </w:r>
      <w:r>
        <w:rPr>
          <w:color w:val="auto"/>
          <w:highlight w:val="none"/>
        </w:rPr>
        <w:t>- 5 -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"_Toc6849" </w:instrText>
      </w:r>
      <w:r>
        <w:rPr>
          <w:color w:val="auto"/>
          <w:highlight w:val="none"/>
        </w:rPr>
        <w:fldChar w:fldCharType="separate"/>
      </w:r>
      <w:r>
        <w:rPr>
          <w:rFonts w:hint="eastAsia" w:ascii="微软雅黑" w:hAnsi="微软雅黑" w:eastAsia="微软雅黑" w:cs="微软雅黑"/>
          <w:color w:val="auto"/>
          <w:szCs w:val="24"/>
          <w:highlight w:val="none"/>
        </w:rPr>
        <w:t>四、其它有关规定</w:t>
      </w:r>
      <w:r>
        <w:rPr>
          <w:color w:val="auto"/>
          <w:highlight w:val="none"/>
        </w:rPr>
        <w:tab/>
      </w:r>
      <w:r>
        <w:rPr>
          <w:color w:val="auto"/>
          <w:highlight w:val="none"/>
        </w:rPr>
        <w:fldChar w:fldCharType="begin"/>
      </w:r>
      <w:r>
        <w:rPr>
          <w:color w:val="auto"/>
          <w:highlight w:val="none"/>
        </w:rPr>
        <w:instrText xml:space="preserve"> PAGEREF _Toc6849 \h </w:instrText>
      </w:r>
      <w:r>
        <w:rPr>
          <w:color w:val="auto"/>
          <w:highlight w:val="none"/>
        </w:rPr>
        <w:fldChar w:fldCharType="separate"/>
      </w:r>
      <w:r>
        <w:rPr>
          <w:color w:val="auto"/>
          <w:highlight w:val="none"/>
        </w:rPr>
        <w:t>- 5 -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"_Toc25558" </w:instrText>
      </w:r>
      <w:r>
        <w:rPr>
          <w:color w:val="auto"/>
          <w:highlight w:val="none"/>
        </w:rPr>
        <w:fldChar w:fldCharType="separate"/>
      </w:r>
      <w:r>
        <w:rPr>
          <w:rFonts w:hint="eastAsia" w:ascii="微软雅黑" w:hAnsi="微软雅黑" w:eastAsia="微软雅黑" w:cs="微软雅黑"/>
          <w:color w:val="auto"/>
          <w:szCs w:val="24"/>
          <w:highlight w:val="none"/>
        </w:rPr>
        <w:t>五、联系方式</w:t>
      </w:r>
      <w:r>
        <w:rPr>
          <w:color w:val="auto"/>
          <w:highlight w:val="none"/>
        </w:rPr>
        <w:tab/>
      </w:r>
      <w:r>
        <w:rPr>
          <w:color w:val="auto"/>
          <w:highlight w:val="none"/>
        </w:rPr>
        <w:fldChar w:fldCharType="begin"/>
      </w:r>
      <w:r>
        <w:rPr>
          <w:color w:val="auto"/>
          <w:highlight w:val="none"/>
        </w:rPr>
        <w:instrText xml:space="preserve"> PAGEREF _Toc25558 \h </w:instrText>
      </w:r>
      <w:r>
        <w:rPr>
          <w:color w:val="auto"/>
          <w:highlight w:val="none"/>
        </w:rPr>
        <w:fldChar w:fldCharType="separate"/>
      </w:r>
      <w:r>
        <w:rPr>
          <w:color w:val="auto"/>
          <w:highlight w:val="none"/>
        </w:rPr>
        <w:t>- 6 -</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"_Toc25460" </w:instrText>
      </w:r>
      <w:r>
        <w:rPr>
          <w:color w:val="auto"/>
          <w:highlight w:val="none"/>
        </w:rPr>
        <w:fldChar w:fldCharType="separate"/>
      </w:r>
      <w:r>
        <w:rPr>
          <w:rFonts w:hint="eastAsia" w:ascii="微软雅黑" w:hAnsi="微软雅黑" w:eastAsia="微软雅黑" w:cs="微软雅黑"/>
          <w:color w:val="auto"/>
          <w:szCs w:val="30"/>
          <w:highlight w:val="none"/>
        </w:rPr>
        <w:t>第二篇 项目服务需求</w:t>
      </w:r>
      <w:r>
        <w:rPr>
          <w:color w:val="auto"/>
          <w:highlight w:val="none"/>
        </w:rPr>
        <w:tab/>
      </w:r>
      <w:r>
        <w:rPr>
          <w:color w:val="auto"/>
          <w:highlight w:val="none"/>
        </w:rPr>
        <w:fldChar w:fldCharType="begin"/>
      </w:r>
      <w:r>
        <w:rPr>
          <w:color w:val="auto"/>
          <w:highlight w:val="none"/>
        </w:rPr>
        <w:instrText xml:space="preserve"> PAGEREF _Toc25460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"_Toc3382" </w:instrText>
      </w:r>
      <w:r>
        <w:rPr>
          <w:color w:val="auto"/>
          <w:highlight w:val="none"/>
        </w:rPr>
        <w:fldChar w:fldCharType="separate"/>
      </w:r>
      <w:r>
        <w:rPr>
          <w:rFonts w:hint="eastAsia" w:ascii="微软雅黑" w:hAnsi="微软雅黑" w:eastAsia="微软雅黑" w:cs="微软雅黑"/>
          <w:color w:val="auto"/>
          <w:szCs w:val="28"/>
          <w:highlight w:val="none"/>
        </w:rPr>
        <w:t>一、服务内容</w:t>
      </w:r>
      <w:r>
        <w:rPr>
          <w:color w:val="auto"/>
          <w:highlight w:val="none"/>
        </w:rPr>
        <w:tab/>
      </w:r>
      <w:r>
        <w:rPr>
          <w:color w:val="auto"/>
          <w:highlight w:val="none"/>
        </w:rPr>
        <w:fldChar w:fldCharType="begin"/>
      </w:r>
      <w:r>
        <w:rPr>
          <w:color w:val="auto"/>
          <w:highlight w:val="none"/>
        </w:rPr>
        <w:instrText xml:space="preserve"> PAGEREF _Toc3382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"_Toc10896" </w:instrText>
      </w:r>
      <w:r>
        <w:rPr>
          <w:color w:val="auto"/>
          <w:highlight w:val="none"/>
        </w:rPr>
        <w:fldChar w:fldCharType="separate"/>
      </w:r>
      <w:r>
        <w:rPr>
          <w:rFonts w:hint="eastAsia" w:ascii="微软雅黑" w:hAnsi="微软雅黑" w:eastAsia="微软雅黑" w:cs="微软雅黑"/>
          <w:color w:val="auto"/>
          <w:szCs w:val="28"/>
          <w:highlight w:val="none"/>
        </w:rPr>
        <w:t>二、服务要求</w:t>
      </w:r>
      <w:r>
        <w:rPr>
          <w:color w:val="auto"/>
          <w:highlight w:val="none"/>
        </w:rPr>
        <w:tab/>
      </w:r>
      <w:r>
        <w:rPr>
          <w:color w:val="auto"/>
          <w:highlight w:val="none"/>
        </w:rPr>
        <w:fldChar w:fldCharType="begin"/>
      </w:r>
      <w:r>
        <w:rPr>
          <w:color w:val="auto"/>
          <w:highlight w:val="none"/>
        </w:rPr>
        <w:instrText xml:space="preserve"> PAGEREF _Toc10896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"_Toc1361" </w:instrText>
      </w:r>
      <w:r>
        <w:rPr>
          <w:color w:val="auto"/>
          <w:highlight w:val="none"/>
        </w:rPr>
        <w:fldChar w:fldCharType="separate"/>
      </w:r>
      <w:r>
        <w:rPr>
          <w:rFonts w:hint="eastAsia" w:ascii="微软雅黑" w:hAnsi="微软雅黑" w:eastAsia="微软雅黑" w:cs="微软雅黑"/>
          <w:color w:val="auto"/>
          <w:szCs w:val="28"/>
          <w:highlight w:val="none"/>
        </w:rPr>
        <w:t>三、采购代理服务费的收取标准</w:t>
      </w:r>
      <w:r>
        <w:rPr>
          <w:color w:val="auto"/>
          <w:highlight w:val="none"/>
        </w:rPr>
        <w:tab/>
      </w:r>
      <w:r>
        <w:rPr>
          <w:color w:val="auto"/>
          <w:highlight w:val="none"/>
        </w:rPr>
        <w:fldChar w:fldCharType="begin"/>
      </w:r>
      <w:r>
        <w:rPr>
          <w:color w:val="auto"/>
          <w:highlight w:val="none"/>
        </w:rPr>
        <w:instrText xml:space="preserve"> PAGEREF _Toc1361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"_Toc5270" </w:instrText>
      </w:r>
      <w:r>
        <w:rPr>
          <w:color w:val="auto"/>
          <w:highlight w:val="none"/>
        </w:rPr>
        <w:fldChar w:fldCharType="separate"/>
      </w:r>
      <w:r>
        <w:rPr>
          <w:rFonts w:hint="eastAsia" w:ascii="微软雅黑" w:hAnsi="微软雅黑" w:eastAsia="微软雅黑" w:cs="微软雅黑"/>
          <w:color w:val="auto"/>
          <w:szCs w:val="28"/>
          <w:highlight w:val="none"/>
        </w:rPr>
        <w:t>四、委派方式</w:t>
      </w:r>
      <w:r>
        <w:rPr>
          <w:color w:val="auto"/>
          <w:highlight w:val="none"/>
        </w:rPr>
        <w:tab/>
      </w:r>
      <w:r>
        <w:rPr>
          <w:color w:val="auto"/>
          <w:highlight w:val="none"/>
        </w:rPr>
        <w:fldChar w:fldCharType="begin"/>
      </w:r>
      <w:r>
        <w:rPr>
          <w:color w:val="auto"/>
          <w:highlight w:val="none"/>
        </w:rPr>
        <w:instrText xml:space="preserve"> PAGEREF _Toc5270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"_Toc8284" </w:instrText>
      </w:r>
      <w:r>
        <w:rPr>
          <w:color w:val="auto"/>
          <w:highlight w:val="none"/>
        </w:rPr>
        <w:fldChar w:fldCharType="separate"/>
      </w:r>
      <w:r>
        <w:rPr>
          <w:rFonts w:hint="eastAsia" w:ascii="微软雅黑" w:hAnsi="微软雅黑" w:eastAsia="微软雅黑" w:cs="微软雅黑"/>
          <w:color w:val="auto"/>
          <w:szCs w:val="28"/>
          <w:highlight w:val="none"/>
        </w:rPr>
        <w:t>五、考核管理</w:t>
      </w:r>
      <w:r>
        <w:rPr>
          <w:color w:val="auto"/>
          <w:highlight w:val="none"/>
        </w:rPr>
        <w:tab/>
      </w:r>
      <w:r>
        <w:rPr>
          <w:color w:val="auto"/>
          <w:highlight w:val="none"/>
        </w:rPr>
        <w:fldChar w:fldCharType="begin"/>
      </w:r>
      <w:r>
        <w:rPr>
          <w:color w:val="auto"/>
          <w:highlight w:val="none"/>
        </w:rPr>
        <w:instrText xml:space="preserve"> PAGEREF _Toc8284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"_Toc18358" </w:instrText>
      </w:r>
      <w:r>
        <w:rPr>
          <w:color w:val="auto"/>
          <w:highlight w:val="none"/>
        </w:rPr>
        <w:fldChar w:fldCharType="separate"/>
      </w:r>
      <w:r>
        <w:rPr>
          <w:rFonts w:hint="eastAsia" w:ascii="微软雅黑" w:hAnsi="微软雅黑" w:eastAsia="微软雅黑" w:cs="微软雅黑"/>
          <w:color w:val="auto"/>
          <w:szCs w:val="28"/>
          <w:highlight w:val="none"/>
        </w:rPr>
        <w:t>六、违约责任</w:t>
      </w:r>
      <w:r>
        <w:rPr>
          <w:color w:val="auto"/>
          <w:highlight w:val="none"/>
        </w:rPr>
        <w:tab/>
      </w:r>
      <w:r>
        <w:rPr>
          <w:color w:val="auto"/>
          <w:highlight w:val="none"/>
        </w:rPr>
        <w:fldChar w:fldCharType="begin"/>
      </w:r>
      <w:r>
        <w:rPr>
          <w:color w:val="auto"/>
          <w:highlight w:val="none"/>
        </w:rPr>
        <w:instrText xml:space="preserve"> PAGEREF _Toc18358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"_Toc19287" </w:instrText>
      </w:r>
      <w:r>
        <w:rPr>
          <w:color w:val="auto"/>
          <w:highlight w:val="none"/>
        </w:rPr>
        <w:fldChar w:fldCharType="separate"/>
      </w:r>
      <w:r>
        <w:rPr>
          <w:rFonts w:hint="eastAsia" w:ascii="微软雅黑" w:hAnsi="微软雅黑" w:eastAsia="微软雅黑" w:cs="微软雅黑"/>
          <w:color w:val="auto"/>
          <w:szCs w:val="28"/>
          <w:highlight w:val="none"/>
        </w:rPr>
        <w:t>七、其他</w:t>
      </w:r>
      <w:r>
        <w:rPr>
          <w:color w:val="auto"/>
          <w:highlight w:val="none"/>
        </w:rPr>
        <w:tab/>
      </w:r>
      <w:r>
        <w:rPr>
          <w:color w:val="auto"/>
          <w:highlight w:val="none"/>
        </w:rPr>
        <w:fldChar w:fldCharType="begin"/>
      </w:r>
      <w:r>
        <w:rPr>
          <w:color w:val="auto"/>
          <w:highlight w:val="none"/>
        </w:rPr>
        <w:instrText xml:space="preserve"> PAGEREF _Toc19287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"_Toc1620" </w:instrText>
      </w:r>
      <w:r>
        <w:rPr>
          <w:color w:val="auto"/>
          <w:highlight w:val="none"/>
        </w:rPr>
        <w:fldChar w:fldCharType="separate"/>
      </w:r>
      <w:r>
        <w:rPr>
          <w:rFonts w:hint="eastAsia" w:ascii="微软雅黑" w:hAnsi="微软雅黑" w:eastAsia="微软雅黑" w:cs="微软雅黑"/>
          <w:color w:val="auto"/>
          <w:szCs w:val="30"/>
          <w:highlight w:val="none"/>
        </w:rPr>
        <w:t>第三篇  竞选程序及方法、评审标准、无效响应和</w:t>
      </w:r>
      <w:r>
        <w:rPr>
          <w:rFonts w:hint="eastAsia" w:ascii="微软雅黑" w:hAnsi="微软雅黑" w:eastAsia="微软雅黑" w:cs="微软雅黑"/>
          <w:color w:val="auto"/>
          <w:szCs w:val="36"/>
          <w:highlight w:val="none"/>
        </w:rPr>
        <w:t>采购终止</w:t>
      </w:r>
      <w:r>
        <w:rPr>
          <w:color w:val="auto"/>
          <w:highlight w:val="none"/>
        </w:rPr>
        <w:tab/>
      </w:r>
      <w:r>
        <w:rPr>
          <w:color w:val="auto"/>
          <w:highlight w:val="none"/>
        </w:rPr>
        <w:fldChar w:fldCharType="begin"/>
      </w:r>
      <w:r>
        <w:rPr>
          <w:color w:val="auto"/>
          <w:highlight w:val="none"/>
        </w:rPr>
        <w:instrText xml:space="preserve"> PAGEREF _Toc1620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"_Toc10989" </w:instrText>
      </w:r>
      <w:r>
        <w:rPr>
          <w:color w:val="auto"/>
          <w:highlight w:val="none"/>
        </w:rPr>
        <w:fldChar w:fldCharType="separate"/>
      </w:r>
      <w:r>
        <w:rPr>
          <w:rFonts w:hint="eastAsia" w:ascii="微软雅黑" w:hAnsi="微软雅黑" w:eastAsia="微软雅黑" w:cs="微软雅黑"/>
          <w:color w:val="auto"/>
          <w:szCs w:val="24"/>
          <w:highlight w:val="none"/>
        </w:rPr>
        <w:t>一、竞选程序及方法</w:t>
      </w:r>
      <w:r>
        <w:rPr>
          <w:color w:val="auto"/>
          <w:highlight w:val="none"/>
        </w:rPr>
        <w:tab/>
      </w:r>
      <w:r>
        <w:rPr>
          <w:color w:val="auto"/>
          <w:highlight w:val="none"/>
        </w:rPr>
        <w:fldChar w:fldCharType="begin"/>
      </w:r>
      <w:r>
        <w:rPr>
          <w:color w:val="auto"/>
          <w:highlight w:val="none"/>
        </w:rPr>
        <w:instrText xml:space="preserve"> PAGEREF _Toc10989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"_Toc1763" </w:instrText>
      </w:r>
      <w:r>
        <w:rPr>
          <w:color w:val="auto"/>
          <w:highlight w:val="none"/>
        </w:rPr>
        <w:fldChar w:fldCharType="separate"/>
      </w:r>
      <w:r>
        <w:rPr>
          <w:rFonts w:hint="eastAsia" w:ascii="微软雅黑" w:hAnsi="微软雅黑" w:eastAsia="微软雅黑" w:cs="微软雅黑"/>
          <w:color w:val="auto"/>
          <w:szCs w:val="24"/>
          <w:highlight w:val="none"/>
        </w:rPr>
        <w:t>二、评审标准</w:t>
      </w:r>
      <w:r>
        <w:rPr>
          <w:color w:val="auto"/>
          <w:highlight w:val="none"/>
        </w:rPr>
        <w:tab/>
      </w:r>
      <w:r>
        <w:rPr>
          <w:color w:val="auto"/>
          <w:highlight w:val="none"/>
        </w:rPr>
        <w:fldChar w:fldCharType="begin"/>
      </w:r>
      <w:r>
        <w:rPr>
          <w:color w:val="auto"/>
          <w:highlight w:val="none"/>
        </w:rPr>
        <w:instrText xml:space="preserve"> PAGEREF _Toc1763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"_Toc30319" </w:instrText>
      </w:r>
      <w:r>
        <w:rPr>
          <w:color w:val="auto"/>
          <w:highlight w:val="none"/>
        </w:rPr>
        <w:fldChar w:fldCharType="separate"/>
      </w:r>
      <w:r>
        <w:rPr>
          <w:rFonts w:hint="eastAsia" w:ascii="微软雅黑" w:hAnsi="微软雅黑" w:eastAsia="微软雅黑" w:cs="微软雅黑"/>
          <w:color w:val="auto"/>
          <w:szCs w:val="24"/>
          <w:highlight w:val="none"/>
        </w:rPr>
        <w:t>三、无效响应</w:t>
      </w:r>
      <w:r>
        <w:rPr>
          <w:color w:val="auto"/>
          <w:highlight w:val="none"/>
        </w:rPr>
        <w:tab/>
      </w:r>
      <w:r>
        <w:rPr>
          <w:color w:val="auto"/>
          <w:highlight w:val="none"/>
        </w:rPr>
        <w:fldChar w:fldCharType="begin"/>
      </w:r>
      <w:r>
        <w:rPr>
          <w:color w:val="auto"/>
          <w:highlight w:val="none"/>
        </w:rPr>
        <w:instrText xml:space="preserve"> PAGEREF _Toc30319 \h </w:instrText>
      </w:r>
      <w:r>
        <w:rPr>
          <w:color w:val="auto"/>
          <w:highlight w:val="none"/>
        </w:rPr>
        <w:fldChar w:fldCharType="separate"/>
      </w:r>
      <w:r>
        <w:rPr>
          <w:color w:val="auto"/>
          <w:highlight w:val="none"/>
        </w:rPr>
        <w:t>- 21 -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"_Toc15215" </w:instrText>
      </w:r>
      <w:r>
        <w:rPr>
          <w:color w:val="auto"/>
          <w:highlight w:val="none"/>
        </w:rPr>
        <w:fldChar w:fldCharType="separate"/>
      </w:r>
      <w:r>
        <w:rPr>
          <w:rFonts w:hint="eastAsia" w:ascii="微软雅黑" w:hAnsi="微软雅黑" w:eastAsia="微软雅黑" w:cs="微软雅黑"/>
          <w:color w:val="auto"/>
          <w:szCs w:val="24"/>
          <w:highlight w:val="none"/>
        </w:rPr>
        <w:t>四、采购终止</w:t>
      </w:r>
      <w:r>
        <w:rPr>
          <w:color w:val="auto"/>
          <w:highlight w:val="none"/>
        </w:rPr>
        <w:tab/>
      </w:r>
      <w:r>
        <w:rPr>
          <w:color w:val="auto"/>
          <w:highlight w:val="none"/>
        </w:rPr>
        <w:fldChar w:fldCharType="begin"/>
      </w:r>
      <w:r>
        <w:rPr>
          <w:color w:val="auto"/>
          <w:highlight w:val="none"/>
        </w:rPr>
        <w:instrText xml:space="preserve"> PAGEREF _Toc15215 \h </w:instrText>
      </w:r>
      <w:r>
        <w:rPr>
          <w:color w:val="auto"/>
          <w:highlight w:val="none"/>
        </w:rPr>
        <w:fldChar w:fldCharType="separate"/>
      </w:r>
      <w:r>
        <w:rPr>
          <w:color w:val="auto"/>
          <w:highlight w:val="none"/>
        </w:rPr>
        <w:t>- 21 -</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"_Toc6069" </w:instrText>
      </w:r>
      <w:r>
        <w:rPr>
          <w:color w:val="auto"/>
          <w:highlight w:val="none"/>
        </w:rPr>
        <w:fldChar w:fldCharType="separate"/>
      </w:r>
      <w:r>
        <w:rPr>
          <w:rFonts w:hint="eastAsia" w:ascii="微软雅黑" w:hAnsi="微软雅黑" w:eastAsia="微软雅黑" w:cs="微软雅黑"/>
          <w:color w:val="auto"/>
          <w:szCs w:val="30"/>
          <w:highlight w:val="none"/>
        </w:rPr>
        <w:t>第四篇  代理机构须知</w:t>
      </w:r>
      <w:r>
        <w:rPr>
          <w:color w:val="auto"/>
          <w:highlight w:val="none"/>
        </w:rPr>
        <w:tab/>
      </w:r>
      <w:r>
        <w:rPr>
          <w:color w:val="auto"/>
          <w:highlight w:val="none"/>
        </w:rPr>
        <w:fldChar w:fldCharType="begin"/>
      </w:r>
      <w:r>
        <w:rPr>
          <w:color w:val="auto"/>
          <w:highlight w:val="none"/>
        </w:rPr>
        <w:instrText xml:space="preserve"> PAGEREF _Toc6069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"_Toc3716" </w:instrText>
      </w:r>
      <w:r>
        <w:rPr>
          <w:color w:val="auto"/>
          <w:highlight w:val="none"/>
        </w:rPr>
        <w:fldChar w:fldCharType="separate"/>
      </w:r>
      <w:r>
        <w:rPr>
          <w:rFonts w:hint="eastAsia" w:ascii="微软雅黑" w:hAnsi="微软雅黑" w:eastAsia="微软雅黑" w:cs="微软雅黑"/>
          <w:color w:val="auto"/>
          <w:szCs w:val="24"/>
          <w:highlight w:val="none"/>
        </w:rPr>
        <w:t>一、比选费用</w:t>
      </w:r>
      <w:r>
        <w:rPr>
          <w:color w:val="auto"/>
          <w:highlight w:val="none"/>
        </w:rPr>
        <w:tab/>
      </w:r>
      <w:r>
        <w:rPr>
          <w:color w:val="auto"/>
          <w:highlight w:val="none"/>
        </w:rPr>
        <w:fldChar w:fldCharType="begin"/>
      </w:r>
      <w:r>
        <w:rPr>
          <w:color w:val="auto"/>
          <w:highlight w:val="none"/>
        </w:rPr>
        <w:instrText xml:space="preserve"> PAGEREF _Toc3716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"_Toc7904" </w:instrText>
      </w:r>
      <w:r>
        <w:rPr>
          <w:color w:val="auto"/>
          <w:highlight w:val="none"/>
        </w:rPr>
        <w:fldChar w:fldCharType="separate"/>
      </w:r>
      <w:r>
        <w:rPr>
          <w:rFonts w:hint="eastAsia" w:ascii="微软雅黑" w:hAnsi="微软雅黑" w:eastAsia="微软雅黑" w:cs="微软雅黑"/>
          <w:color w:val="auto"/>
          <w:szCs w:val="24"/>
          <w:highlight w:val="none"/>
        </w:rPr>
        <w:t>二、竞争性比选文件</w:t>
      </w:r>
      <w:r>
        <w:rPr>
          <w:color w:val="auto"/>
          <w:highlight w:val="none"/>
        </w:rPr>
        <w:tab/>
      </w:r>
      <w:r>
        <w:rPr>
          <w:color w:val="auto"/>
          <w:highlight w:val="none"/>
        </w:rPr>
        <w:fldChar w:fldCharType="begin"/>
      </w:r>
      <w:r>
        <w:rPr>
          <w:color w:val="auto"/>
          <w:highlight w:val="none"/>
        </w:rPr>
        <w:instrText xml:space="preserve"> PAGEREF _Toc7904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"_Toc2145" </w:instrText>
      </w:r>
      <w:r>
        <w:rPr>
          <w:color w:val="auto"/>
          <w:highlight w:val="none"/>
        </w:rPr>
        <w:fldChar w:fldCharType="separate"/>
      </w:r>
      <w:r>
        <w:rPr>
          <w:rFonts w:hint="eastAsia" w:ascii="微软雅黑" w:hAnsi="微软雅黑" w:eastAsia="微软雅黑" w:cs="微软雅黑"/>
          <w:color w:val="auto"/>
          <w:szCs w:val="24"/>
          <w:highlight w:val="none"/>
        </w:rPr>
        <w:t>三、比选要求</w:t>
      </w:r>
      <w:r>
        <w:rPr>
          <w:color w:val="auto"/>
          <w:highlight w:val="none"/>
        </w:rPr>
        <w:tab/>
      </w:r>
      <w:r>
        <w:rPr>
          <w:color w:val="auto"/>
          <w:highlight w:val="none"/>
        </w:rPr>
        <w:fldChar w:fldCharType="begin"/>
      </w:r>
      <w:r>
        <w:rPr>
          <w:color w:val="auto"/>
          <w:highlight w:val="none"/>
        </w:rPr>
        <w:instrText xml:space="preserve"> PAGEREF _Toc2145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"_Toc20820" </w:instrText>
      </w:r>
      <w:r>
        <w:rPr>
          <w:color w:val="auto"/>
          <w:highlight w:val="none"/>
        </w:rPr>
        <w:fldChar w:fldCharType="separate"/>
      </w:r>
      <w:r>
        <w:rPr>
          <w:rFonts w:hint="eastAsia" w:ascii="微软雅黑" w:hAnsi="微软雅黑" w:eastAsia="微软雅黑" w:cs="微软雅黑"/>
          <w:color w:val="auto"/>
          <w:szCs w:val="24"/>
          <w:highlight w:val="none"/>
        </w:rPr>
        <w:t>四、成交代理机构的确认和变更</w:t>
      </w:r>
      <w:r>
        <w:rPr>
          <w:color w:val="auto"/>
          <w:highlight w:val="none"/>
        </w:rPr>
        <w:tab/>
      </w:r>
      <w:r>
        <w:rPr>
          <w:color w:val="auto"/>
          <w:highlight w:val="none"/>
        </w:rPr>
        <w:fldChar w:fldCharType="begin"/>
      </w:r>
      <w:r>
        <w:rPr>
          <w:color w:val="auto"/>
          <w:highlight w:val="none"/>
        </w:rPr>
        <w:instrText xml:space="preserve"> PAGEREF _Toc20820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"_Toc9867" </w:instrText>
      </w:r>
      <w:r>
        <w:rPr>
          <w:color w:val="auto"/>
          <w:highlight w:val="none"/>
        </w:rPr>
        <w:fldChar w:fldCharType="separate"/>
      </w:r>
      <w:r>
        <w:rPr>
          <w:rFonts w:hint="eastAsia" w:ascii="微软雅黑" w:hAnsi="微软雅黑" w:eastAsia="微软雅黑" w:cs="微软雅黑"/>
          <w:color w:val="auto"/>
          <w:szCs w:val="24"/>
          <w:highlight w:val="none"/>
        </w:rPr>
        <w:t>五、成交通知</w:t>
      </w:r>
      <w:r>
        <w:rPr>
          <w:color w:val="auto"/>
          <w:highlight w:val="none"/>
        </w:rPr>
        <w:tab/>
      </w:r>
      <w:r>
        <w:rPr>
          <w:color w:val="auto"/>
          <w:highlight w:val="none"/>
        </w:rPr>
        <w:fldChar w:fldCharType="begin"/>
      </w:r>
      <w:r>
        <w:rPr>
          <w:color w:val="auto"/>
          <w:highlight w:val="none"/>
        </w:rPr>
        <w:instrText xml:space="preserve"> PAGEREF _Toc9867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"_Toc5478" </w:instrText>
      </w:r>
      <w:r>
        <w:rPr>
          <w:color w:val="auto"/>
          <w:highlight w:val="none"/>
        </w:rPr>
        <w:fldChar w:fldCharType="separate"/>
      </w:r>
      <w:r>
        <w:rPr>
          <w:rFonts w:hint="eastAsia" w:ascii="微软雅黑" w:hAnsi="微软雅黑" w:eastAsia="微软雅黑" w:cs="微软雅黑"/>
          <w:color w:val="auto"/>
          <w:szCs w:val="24"/>
          <w:highlight w:val="none"/>
        </w:rPr>
        <w:t>六、签订合同</w:t>
      </w:r>
      <w:r>
        <w:rPr>
          <w:color w:val="auto"/>
          <w:highlight w:val="none"/>
        </w:rPr>
        <w:tab/>
      </w:r>
      <w:r>
        <w:rPr>
          <w:color w:val="auto"/>
          <w:highlight w:val="none"/>
        </w:rPr>
        <w:fldChar w:fldCharType="begin"/>
      </w:r>
      <w:r>
        <w:rPr>
          <w:color w:val="auto"/>
          <w:highlight w:val="none"/>
        </w:rPr>
        <w:instrText xml:space="preserve"> PAGEREF _Toc5478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"_Toc16706" </w:instrText>
      </w:r>
      <w:r>
        <w:rPr>
          <w:color w:val="auto"/>
          <w:highlight w:val="none"/>
        </w:rPr>
        <w:fldChar w:fldCharType="separate"/>
      </w:r>
      <w:r>
        <w:rPr>
          <w:rFonts w:hint="eastAsia" w:ascii="微软雅黑" w:hAnsi="微软雅黑" w:eastAsia="微软雅黑" w:cs="微软雅黑"/>
          <w:color w:val="auto"/>
          <w:szCs w:val="24"/>
          <w:highlight w:val="none"/>
        </w:rPr>
        <w:t>一、响应文件封面</w:t>
      </w:r>
      <w:r>
        <w:rPr>
          <w:color w:val="auto"/>
          <w:highlight w:val="none"/>
        </w:rPr>
        <w:tab/>
      </w:r>
      <w:r>
        <w:rPr>
          <w:color w:val="auto"/>
          <w:highlight w:val="none"/>
        </w:rPr>
        <w:fldChar w:fldCharType="begin"/>
      </w:r>
      <w:r>
        <w:rPr>
          <w:color w:val="auto"/>
          <w:highlight w:val="none"/>
        </w:rPr>
        <w:instrText xml:space="preserve"> PAGEREF _Toc16706 \h </w:instrText>
      </w:r>
      <w:r>
        <w:rPr>
          <w:color w:val="auto"/>
          <w:highlight w:val="none"/>
        </w:rPr>
        <w:fldChar w:fldCharType="separate"/>
      </w:r>
      <w:r>
        <w:rPr>
          <w:color w:val="auto"/>
          <w:highlight w:val="none"/>
        </w:rPr>
        <w:t>- 27 -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"_Toc18577" </w:instrText>
      </w:r>
      <w:r>
        <w:rPr>
          <w:color w:val="auto"/>
          <w:highlight w:val="none"/>
        </w:rPr>
        <w:fldChar w:fldCharType="separate"/>
      </w:r>
      <w:r>
        <w:rPr>
          <w:rFonts w:hint="eastAsia" w:ascii="微软雅黑" w:hAnsi="微软雅黑" w:eastAsia="微软雅黑" w:cs="微软雅黑"/>
          <w:color w:val="auto"/>
          <w:szCs w:val="24"/>
          <w:highlight w:val="none"/>
        </w:rPr>
        <w:t>二、经济部分</w:t>
      </w:r>
      <w:r>
        <w:rPr>
          <w:color w:val="auto"/>
          <w:highlight w:val="none"/>
        </w:rPr>
        <w:tab/>
      </w:r>
      <w:r>
        <w:rPr>
          <w:color w:val="auto"/>
          <w:highlight w:val="none"/>
        </w:rPr>
        <w:fldChar w:fldCharType="begin"/>
      </w:r>
      <w:r>
        <w:rPr>
          <w:color w:val="auto"/>
          <w:highlight w:val="none"/>
        </w:rPr>
        <w:instrText xml:space="preserve"> PAGEREF _Toc18577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"_Toc30062" </w:instrText>
      </w:r>
      <w:r>
        <w:rPr>
          <w:color w:val="auto"/>
          <w:highlight w:val="none"/>
        </w:rPr>
        <w:fldChar w:fldCharType="separate"/>
      </w:r>
      <w:r>
        <w:rPr>
          <w:rFonts w:hint="eastAsia" w:ascii="微软雅黑" w:hAnsi="微软雅黑" w:eastAsia="微软雅黑" w:cs="微软雅黑"/>
          <w:color w:val="auto"/>
          <w:szCs w:val="24"/>
          <w:highlight w:val="none"/>
        </w:rPr>
        <w:t>三、服务部分</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"_Toc15402" </w:instrText>
      </w:r>
      <w:r>
        <w:rPr>
          <w:color w:val="auto"/>
          <w:highlight w:val="none"/>
        </w:rPr>
        <w:fldChar w:fldCharType="separate"/>
      </w:r>
      <w:r>
        <w:rPr>
          <w:rFonts w:hint="eastAsia" w:ascii="微软雅黑" w:hAnsi="微软雅黑" w:eastAsia="微软雅黑" w:cs="微软雅黑"/>
          <w:color w:val="auto"/>
          <w:szCs w:val="24"/>
          <w:highlight w:val="none"/>
        </w:rPr>
        <w:t>四、资格条件及其他</w:t>
      </w:r>
      <w:r>
        <w:rPr>
          <w:color w:val="auto"/>
          <w:highlight w:val="none"/>
        </w:rPr>
        <w:tab/>
      </w:r>
      <w:r>
        <w:rPr>
          <w:color w:val="auto"/>
          <w:highlight w:val="none"/>
        </w:rPr>
        <w:fldChar w:fldCharType="begin"/>
      </w:r>
      <w:r>
        <w:rPr>
          <w:color w:val="auto"/>
          <w:highlight w:val="none"/>
        </w:rPr>
        <w:instrText xml:space="preserve"> PAGEREF _Toc15402 \h </w:instrText>
      </w:r>
      <w:r>
        <w:rPr>
          <w:color w:val="auto"/>
          <w:highlight w:val="none"/>
        </w:rPr>
        <w:fldChar w:fldCharType="separate"/>
      </w:r>
      <w:r>
        <w:rPr>
          <w:color w:val="auto"/>
          <w:highlight w:val="none"/>
        </w:rPr>
        <w:t>- 30 -</w:t>
      </w:r>
      <w:r>
        <w:rPr>
          <w:color w:val="auto"/>
          <w:highlight w:val="none"/>
        </w:rPr>
        <w:fldChar w:fldCharType="end"/>
      </w:r>
      <w:r>
        <w:rPr>
          <w:color w:val="auto"/>
          <w:highlight w:val="none"/>
        </w:rPr>
        <w:fldChar w:fldCharType="end"/>
      </w:r>
    </w:p>
    <w:p>
      <w:pPr>
        <w:pStyle w:val="12"/>
        <w:tabs>
          <w:tab w:val="right" w:leader="dot" w:pos="9402"/>
        </w:tabs>
        <w:spacing w:line="480" w:lineRule="exact"/>
        <w:ind w:left="560"/>
        <w:jc w:val="center"/>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fldChar w:fldCharType="end"/>
      </w:r>
    </w:p>
    <w:p>
      <w:pPr>
        <w:rPr>
          <w:color w:val="auto"/>
          <w:highlight w:val="none"/>
        </w:rPr>
      </w:pPr>
    </w:p>
    <w:p>
      <w:pPr>
        <w:rPr>
          <w:color w:val="auto"/>
          <w:highlight w:val="none"/>
        </w:rPr>
      </w:pPr>
    </w:p>
    <w:p>
      <w:pPr>
        <w:tabs>
          <w:tab w:val="left" w:pos="7023"/>
        </w:tabs>
        <w:jc w:val="left"/>
        <w:rPr>
          <w:color w:val="auto"/>
          <w:highlight w:val="none"/>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5"/>
        </w:sectPr>
      </w:pPr>
      <w:r>
        <w:rPr>
          <w:rFonts w:hint="eastAsia"/>
          <w:color w:val="auto"/>
          <w:highlight w:val="none"/>
        </w:rPr>
        <w:tab/>
      </w:r>
    </w:p>
    <w:p>
      <w:pPr>
        <w:pStyle w:val="2"/>
        <w:spacing w:line="360" w:lineRule="auto"/>
        <w:jc w:val="center"/>
        <w:rPr>
          <w:rFonts w:hint="eastAsia" w:ascii="微软雅黑" w:hAnsi="微软雅黑" w:eastAsia="微软雅黑" w:cs="微软雅黑"/>
          <w:b w:val="0"/>
          <w:color w:val="auto"/>
          <w:szCs w:val="30"/>
          <w:highlight w:val="none"/>
        </w:rPr>
      </w:pPr>
      <w:bookmarkStart w:id="0" w:name="_Toc11641050"/>
      <w:bookmarkStart w:id="1" w:name="_Toc12789052"/>
      <w:bookmarkStart w:id="2" w:name="_Toc20184"/>
      <w:r>
        <w:rPr>
          <w:rFonts w:hint="eastAsia" w:ascii="微软雅黑" w:hAnsi="微软雅黑" w:eastAsia="微软雅黑" w:cs="微软雅黑"/>
          <w:b w:val="0"/>
          <w:color w:val="auto"/>
          <w:sz w:val="36"/>
          <w:szCs w:val="30"/>
          <w:highlight w:val="none"/>
        </w:rPr>
        <w:t>第一篇  比选邀请书</w:t>
      </w:r>
      <w:bookmarkEnd w:id="0"/>
      <w:bookmarkEnd w:id="1"/>
      <w:bookmarkEnd w:id="2"/>
    </w:p>
    <w:p>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为了公开、公平、公正、高效地完成重庆两江新区人民医院采购项目招标代理服务工作，我单位特进行竞争性比选,欢迎各代理机构参与比选。</w:t>
      </w:r>
    </w:p>
    <w:p>
      <w:pPr>
        <w:pStyle w:val="3"/>
        <w:spacing w:line="400" w:lineRule="exact"/>
        <w:rPr>
          <w:rFonts w:hint="eastAsia" w:ascii="微软雅黑" w:hAnsi="微软雅黑" w:eastAsia="微软雅黑" w:cs="微软雅黑"/>
          <w:color w:val="auto"/>
          <w:sz w:val="24"/>
          <w:szCs w:val="24"/>
          <w:highlight w:val="none"/>
        </w:rPr>
      </w:pPr>
      <w:bookmarkStart w:id="3" w:name="_Toc317775175"/>
      <w:bookmarkStart w:id="4" w:name="_Toc16818"/>
      <w:bookmarkStart w:id="5" w:name="_Toc313893526"/>
      <w:r>
        <w:rPr>
          <w:rFonts w:hint="eastAsia" w:ascii="微软雅黑" w:hAnsi="微软雅黑" w:eastAsia="微软雅黑" w:cs="微软雅黑"/>
          <w:color w:val="auto"/>
          <w:sz w:val="24"/>
          <w:szCs w:val="24"/>
          <w:highlight w:val="none"/>
        </w:rPr>
        <w:t>一、竞争性比选内容</w:t>
      </w:r>
      <w:bookmarkEnd w:id="3"/>
      <w:bookmarkEnd w:id="4"/>
      <w:bookmarkEnd w:id="5"/>
    </w:p>
    <w:tbl>
      <w:tblPr>
        <w:tblStyle w:val="14"/>
        <w:tblpPr w:leftFromText="180" w:rightFromText="180" w:vertAnchor="text" w:horzAnchor="page" w:tblpXSpec="center" w:tblpY="166"/>
        <w:tblOverlap w:val="never"/>
        <w:tblW w:w="10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708"/>
        <w:gridCol w:w="1230"/>
        <w:gridCol w:w="2561"/>
        <w:gridCol w:w="1500"/>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326" w:type="dxa"/>
            <w:tcBorders>
              <w:top w:val="single" w:color="auto" w:sz="4" w:space="0"/>
              <w:left w:val="single" w:color="auto" w:sz="4" w:space="0"/>
              <w:right w:val="single" w:color="auto" w:sz="4" w:space="0"/>
            </w:tcBorders>
            <w:vAlign w:val="center"/>
          </w:tcPr>
          <w:p>
            <w:pPr>
              <w:widowControl/>
              <w:jc w:val="center"/>
              <w:rPr>
                <w:rFonts w:hint="eastAsia" w:ascii="微软雅黑" w:hAnsi="微软雅黑" w:eastAsia="微软雅黑" w:cs="微软雅黑"/>
                <w:b/>
                <w:bCs/>
                <w:color w:val="auto"/>
                <w:kern w:val="0"/>
                <w:sz w:val="21"/>
                <w:szCs w:val="21"/>
                <w:highlight w:val="none"/>
              </w:rPr>
            </w:pPr>
            <w:bookmarkStart w:id="6" w:name="_Toc373860293"/>
            <w:bookmarkStart w:id="7" w:name="_Toc317775178"/>
            <w:r>
              <w:rPr>
                <w:rFonts w:hint="eastAsia" w:ascii="微软雅黑" w:hAnsi="微软雅黑" w:eastAsia="微软雅黑" w:cs="微软雅黑"/>
                <w:b/>
                <w:bCs/>
                <w:color w:val="auto"/>
                <w:kern w:val="0"/>
                <w:sz w:val="21"/>
                <w:szCs w:val="21"/>
                <w:highlight w:val="none"/>
              </w:rPr>
              <w:t>项目名称</w:t>
            </w:r>
          </w:p>
        </w:tc>
        <w:tc>
          <w:tcPr>
            <w:tcW w:w="1708"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最高限价</w:t>
            </w:r>
          </w:p>
        </w:tc>
        <w:tc>
          <w:tcPr>
            <w:tcW w:w="1230"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成交数量</w:t>
            </w:r>
          </w:p>
        </w:tc>
        <w:tc>
          <w:tcPr>
            <w:tcW w:w="2561"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color w:val="auto"/>
                <w:kern w:val="0"/>
                <w:sz w:val="21"/>
                <w:szCs w:val="21"/>
                <w:highlight w:val="none"/>
              </w:rPr>
            </w:pPr>
            <w:r>
              <w:rPr>
                <w:rFonts w:hint="eastAsia" w:ascii="微软雅黑" w:hAnsi="微软雅黑" w:eastAsia="微软雅黑" w:cs="微软雅黑"/>
                <w:b/>
                <w:color w:val="auto"/>
                <w:kern w:val="0"/>
                <w:sz w:val="21"/>
                <w:szCs w:val="21"/>
                <w:highlight w:val="none"/>
              </w:rPr>
              <w:t>承接代理范围</w:t>
            </w:r>
          </w:p>
        </w:tc>
        <w:tc>
          <w:tcPr>
            <w:tcW w:w="1500" w:type="dxa"/>
            <w:tcBorders>
              <w:top w:val="single" w:color="auto" w:sz="4" w:space="0"/>
              <w:left w:val="single" w:color="auto" w:sz="4" w:space="0"/>
              <w:right w:val="single" w:color="auto" w:sz="4" w:space="0"/>
            </w:tcBorders>
            <w:vAlign w:val="center"/>
          </w:tcPr>
          <w:p>
            <w:pPr>
              <w:snapToGrid w:val="0"/>
              <w:spacing w:line="560" w:lineRule="exact"/>
              <w:jc w:val="center"/>
              <w:rPr>
                <w:color w:val="auto"/>
                <w:sz w:val="21"/>
                <w:szCs w:val="21"/>
                <w:highlight w:val="none"/>
              </w:rPr>
            </w:pPr>
            <w:r>
              <w:rPr>
                <w:rFonts w:hint="eastAsia" w:ascii="微软雅黑" w:hAnsi="微软雅黑" w:eastAsia="微软雅黑" w:cs="微软雅黑"/>
                <w:b/>
                <w:color w:val="auto"/>
                <w:kern w:val="0"/>
                <w:sz w:val="21"/>
                <w:szCs w:val="21"/>
                <w:highlight w:val="none"/>
              </w:rPr>
              <w:t>服务时间</w:t>
            </w:r>
          </w:p>
        </w:tc>
        <w:tc>
          <w:tcPr>
            <w:tcW w:w="2429"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color w:val="auto"/>
                <w:kern w:val="0"/>
                <w:sz w:val="21"/>
                <w:szCs w:val="21"/>
                <w:highlight w:val="none"/>
              </w:rPr>
            </w:pPr>
            <w:r>
              <w:rPr>
                <w:rFonts w:hint="eastAsia" w:ascii="微软雅黑" w:hAnsi="微软雅黑" w:eastAsia="微软雅黑" w:cs="微软雅黑"/>
                <w:b/>
                <w:color w:val="auto"/>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微软雅黑" w:hAnsi="微软雅黑" w:eastAsia="微软雅黑" w:cs="微软雅黑"/>
                <w:color w:val="auto"/>
                <w:sz w:val="21"/>
                <w:szCs w:val="21"/>
                <w:highlight w:val="none"/>
              </w:rPr>
            </w:pPr>
            <w:bookmarkStart w:id="8" w:name="_Hlk344477914"/>
            <w:r>
              <w:rPr>
                <w:rFonts w:hint="eastAsia" w:ascii="微软雅黑" w:hAnsi="微软雅黑" w:eastAsia="微软雅黑" w:cs="微软雅黑"/>
                <w:color w:val="auto"/>
                <w:sz w:val="21"/>
                <w:szCs w:val="21"/>
                <w:highlight w:val="none"/>
              </w:rPr>
              <w:t>重庆两江新区人民医院招标代理服务机构遴选项目</w:t>
            </w:r>
          </w:p>
        </w:tc>
        <w:tc>
          <w:tcPr>
            <w:tcW w:w="1708"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参照计价格 ［2002］1980 号《招标代理服务收费标准》</w:t>
            </w:r>
          </w:p>
        </w:tc>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小于等于3</w:t>
            </w:r>
          </w:p>
        </w:tc>
        <w:tc>
          <w:tcPr>
            <w:tcW w:w="2561"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hint="eastAsia" w:ascii="微软雅黑" w:hAnsi="微软雅黑" w:eastAsia="微软雅黑" w:cs="微软雅黑"/>
                <w:color w:val="auto"/>
                <w:kern w:val="0"/>
                <w:sz w:val="21"/>
                <w:szCs w:val="21"/>
                <w:highlight w:val="none"/>
              </w:rPr>
            </w:pPr>
            <w:bookmarkStart w:id="9" w:name="OLE_LINK1"/>
            <w:r>
              <w:rPr>
                <w:rFonts w:hint="eastAsia" w:ascii="微软雅黑" w:hAnsi="微软雅黑" w:eastAsia="微软雅黑" w:cs="微软雅黑"/>
                <w:color w:val="auto"/>
                <w:kern w:val="0"/>
                <w:sz w:val="21"/>
                <w:szCs w:val="21"/>
                <w:highlight w:val="none"/>
              </w:rPr>
              <w:t>单次50万元（不含）以下采购项目，及单次 50 万元（含）以上但属政府采购目录外且交易中心不承接的项目</w:t>
            </w:r>
            <w:bookmarkEnd w:id="9"/>
          </w:p>
        </w:tc>
        <w:tc>
          <w:tcPr>
            <w:tcW w:w="1500"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自合同签订之日起，合同期限为1年</w:t>
            </w:r>
          </w:p>
        </w:tc>
        <w:tc>
          <w:tcPr>
            <w:tcW w:w="2429"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若成交数量大于1，则按照评审排名先后，采用顺序轮候的方式开展委托事项。</w:t>
            </w:r>
          </w:p>
        </w:tc>
      </w:tr>
      <w:bookmarkEnd w:id="8"/>
    </w:tbl>
    <w:p>
      <w:pPr>
        <w:pStyle w:val="3"/>
        <w:spacing w:line="400" w:lineRule="exact"/>
        <w:rPr>
          <w:rFonts w:hint="eastAsia" w:ascii="微软雅黑" w:hAnsi="微软雅黑" w:eastAsia="微软雅黑" w:cs="微软雅黑"/>
          <w:color w:val="auto"/>
          <w:sz w:val="24"/>
          <w:szCs w:val="24"/>
          <w:highlight w:val="none"/>
        </w:rPr>
      </w:pPr>
      <w:bookmarkStart w:id="10" w:name="_Toc10048"/>
      <w:r>
        <w:rPr>
          <w:rFonts w:hint="eastAsia" w:ascii="微软雅黑" w:hAnsi="微软雅黑" w:eastAsia="微软雅黑" w:cs="微软雅黑"/>
          <w:color w:val="auto"/>
          <w:sz w:val="24"/>
          <w:szCs w:val="24"/>
          <w:highlight w:val="none"/>
        </w:rPr>
        <w:t>二、代理机构资格条件</w:t>
      </w:r>
      <w:bookmarkEnd w:id="10"/>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代理机构是指向采购人提供货物、工程或者服务的法人、其他组织。合格的代理机构应符合政府采购法第二十二条规定的基本条件，同时符合根据该项目特殊要求设置的特定资格条件。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（一）基本资格条件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1.具有独立承担民事责任的能力；</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2.具有良好的商业信誉和健全的财务会计制度；</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3.具有履行合同所必需的设备和专业技术能力；</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4.有依法缴纳税收和社会保障资金的良好记录；</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5.参加政府采购活动前三年内，在经营活动中没有重大违法记录；</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6.法律、行政法规规定的其他条件。</w:t>
      </w:r>
    </w:p>
    <w:p>
      <w:pPr>
        <w:spacing w:line="520" w:lineRule="exact"/>
        <w:ind w:firstLine="440" w:firstLineChars="200"/>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注：若供应商是总公司授权的分公司参与采购，只接受总公司授权的一家分公司参与采购（提供授权书原件）。若总公司授权多家分公司参与采购的，被授权的所有分公司均为无效响应；若总公司也同时参与采购的，总公司与被授权的所有分公司均为无效响应。</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1.须入驻重庆市政府采购代理机构库（提供重庆市政府采购网相关截图并加盖公章）。</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2.具有良好的商业信誉，未因政府采购相关业务受到财政局处罚，提供承诺书（格式自拟）；</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3.遵守诚实守信原则和保密义务，维护采购人利益，自觉抵制政府采购领域商业贿赂行为，提供廉洁承诺书（格式自拟）。</w:t>
      </w:r>
    </w:p>
    <w:p>
      <w:pPr>
        <w:pStyle w:val="3"/>
        <w:spacing w:line="480" w:lineRule="exact"/>
        <w:rPr>
          <w:rFonts w:hint="eastAsia" w:ascii="微软雅黑" w:hAnsi="微软雅黑" w:eastAsia="微软雅黑" w:cs="微软雅黑"/>
          <w:color w:val="auto"/>
          <w:sz w:val="24"/>
          <w:szCs w:val="24"/>
          <w:highlight w:val="none"/>
        </w:rPr>
      </w:pPr>
      <w:bookmarkStart w:id="11" w:name="_Toc18033"/>
      <w:r>
        <w:rPr>
          <w:rFonts w:hint="eastAsia" w:ascii="微软雅黑" w:hAnsi="微软雅黑" w:eastAsia="微软雅黑" w:cs="微软雅黑"/>
          <w:color w:val="auto"/>
          <w:sz w:val="24"/>
          <w:szCs w:val="24"/>
          <w:highlight w:val="none"/>
        </w:rPr>
        <w:t>三、比选有关说明</w:t>
      </w:r>
      <w:bookmarkEnd w:id="6"/>
      <w:bookmarkEnd w:id="11"/>
    </w:p>
    <w:bookmarkEnd w:id="7"/>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w:t>
      </w:r>
      <w:bookmarkStart w:id="12" w:name="_Toc373860294"/>
      <w:r>
        <w:rPr>
          <w:rFonts w:hint="eastAsia" w:ascii="微软雅黑" w:hAnsi="微软雅黑" w:eastAsia="微软雅黑" w:cs="微软雅黑"/>
          <w:color w:val="auto"/>
          <w:sz w:val="24"/>
          <w:szCs w:val="24"/>
          <w:highlight w:val="none"/>
        </w:rPr>
        <w:t>凡有意参加的供应商，请于公告发布之日起至提交响应文件截止时间之前在重庆两江新区人民医院官网(http://www.ljxqrmyy.com/html/yyzb/)自行下载本项目比选文件、补遗等比选前公布的所有项目资料，无论供应商下载与否，均视为已知晓所有文件实质性要求内容。</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（二）竞争性比选公告期限：自采购公告发布之日起三个工作日。</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w:t>
      </w:r>
      <w:bookmarkStart w:id="13" w:name="_Toc14103757"/>
      <w:bookmarkStart w:id="14" w:name="_Toc14103901"/>
      <w:bookmarkStart w:id="15" w:name="_Toc14103821"/>
      <w:r>
        <w:rPr>
          <w:rFonts w:hint="eastAsia" w:ascii="微软雅黑" w:hAnsi="微软雅黑" w:eastAsia="微软雅黑" w:cs="微软雅黑"/>
          <w:color w:val="auto"/>
          <w:sz w:val="24"/>
          <w:szCs w:val="24"/>
          <w:highlight w:val="none"/>
        </w:rPr>
        <w:t>代理机构须</w:t>
      </w:r>
      <w:bookmarkEnd w:id="13"/>
      <w:bookmarkEnd w:id="14"/>
      <w:bookmarkEnd w:id="15"/>
      <w:bookmarkStart w:id="16" w:name="_Toc14103903"/>
      <w:bookmarkStart w:id="17" w:name="_Toc14103759"/>
      <w:bookmarkStart w:id="18" w:name="_Toc14103823"/>
      <w:r>
        <w:rPr>
          <w:rFonts w:hint="eastAsia" w:ascii="微软雅黑" w:hAnsi="微软雅黑" w:eastAsia="微软雅黑" w:cs="微软雅黑"/>
          <w:color w:val="auto"/>
          <w:sz w:val="24"/>
          <w:szCs w:val="24"/>
          <w:highlight w:val="none"/>
        </w:rPr>
        <w:t>按时递交投标文件</w:t>
      </w:r>
      <w:bookmarkEnd w:id="16"/>
      <w:bookmarkEnd w:id="17"/>
      <w:bookmarkEnd w:id="18"/>
      <w:r>
        <w:rPr>
          <w:rFonts w:hint="eastAsia" w:ascii="微软雅黑" w:hAnsi="微软雅黑" w:eastAsia="微软雅黑" w:cs="微软雅黑"/>
          <w:color w:val="auto"/>
          <w:sz w:val="24"/>
          <w:szCs w:val="24"/>
          <w:highlight w:val="none"/>
        </w:rPr>
        <w:t>。</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（四）递交响应文件地点：重庆市两江新区人民医院6号楼（科教楼）601</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（五）报名及响应文件递交开始时间：2025年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0</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（六）报名及响应文件递交截止时间：2025年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0</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（七）比选开始时间：2025年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0。</w:t>
      </w:r>
    </w:p>
    <w:bookmarkEnd w:id="12"/>
    <w:p>
      <w:pPr>
        <w:pStyle w:val="3"/>
        <w:spacing w:line="380" w:lineRule="exact"/>
        <w:rPr>
          <w:rFonts w:hint="eastAsia" w:ascii="微软雅黑" w:hAnsi="微软雅黑" w:eastAsia="微软雅黑" w:cs="微软雅黑"/>
          <w:color w:val="auto"/>
          <w:sz w:val="24"/>
          <w:szCs w:val="24"/>
          <w:highlight w:val="none"/>
        </w:rPr>
      </w:pPr>
      <w:bookmarkStart w:id="19" w:name="_Toc6849"/>
      <w:bookmarkStart w:id="20" w:name="_Toc17448"/>
      <w:r>
        <w:rPr>
          <w:rFonts w:hint="eastAsia" w:ascii="微软雅黑" w:hAnsi="微软雅黑" w:eastAsia="微软雅黑" w:cs="微软雅黑"/>
          <w:color w:val="auto"/>
          <w:sz w:val="24"/>
          <w:szCs w:val="24"/>
          <w:highlight w:val="none"/>
        </w:rPr>
        <w:t>四、其它有关规定</w:t>
      </w:r>
      <w:bookmarkEnd w:id="19"/>
      <w:bookmarkEnd w:id="20"/>
    </w:p>
    <w:p>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（一）单位负责人为同一人或者存在直接控股、管理关系的不同代理机构，不得参加同一合同项下的采购活动，否则均为无效响应。</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（二）为采购项目提供整体设计、规范编制或者项目管理、监理、检测等服务的代理机构，不得再参加该采购项目的其他采购活动。</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（三）本项目的补遗文件（如果有）在重庆两江新区人民医院官网上发布，请各代理机构注意下载；无论代理机构下载与否，均视同代理机构已知晓本项目补遗文件（如果有）的内容。</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（四）超过比选响应文件截止时间递交的比选响应文件，恕不接收。</w:t>
      </w:r>
    </w:p>
    <w:p>
      <w:pPr>
        <w:snapToGrid w:val="0"/>
        <w:spacing w:line="3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（五）比选费用：无论比选结果如何，代理机构参与本项目比选的所有费用均应由代理机构自行承担。</w:t>
      </w:r>
    </w:p>
    <w:p>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（六）本项目不接受联合体参与比选，否则按无效处理。</w:t>
      </w:r>
    </w:p>
    <w:p>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（七）本项目不接受合同分包，否则按无效处理。</w:t>
      </w:r>
    </w:p>
    <w:p>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按照《财政部关于在政府采购活动中查询及使用信用记录有关问题的通知》财库〔2016〕125号，代理机构列入失信被执行人、重大税收违法案件当事人名单、政府采购严重违法失信行为记录名单及其他不符合《中华人民共和国政府采购法》第二十二条规定条件的代理机构，将拒绝其参与政府采购活动。</w:t>
      </w:r>
    </w:p>
    <w:p>
      <w:pPr>
        <w:pStyle w:val="3"/>
        <w:spacing w:line="380" w:lineRule="exact"/>
        <w:rPr>
          <w:rFonts w:hint="eastAsia" w:ascii="微软雅黑" w:hAnsi="微软雅黑" w:eastAsia="微软雅黑" w:cs="微软雅黑"/>
          <w:color w:val="auto"/>
          <w:sz w:val="24"/>
          <w:szCs w:val="24"/>
          <w:highlight w:val="none"/>
        </w:rPr>
      </w:pPr>
      <w:bookmarkStart w:id="21" w:name="_Toc25558"/>
      <w:r>
        <w:rPr>
          <w:rFonts w:hint="eastAsia" w:ascii="微软雅黑" w:hAnsi="微软雅黑" w:eastAsia="微软雅黑" w:cs="微软雅黑"/>
          <w:color w:val="auto"/>
          <w:sz w:val="24"/>
          <w:szCs w:val="24"/>
          <w:highlight w:val="none"/>
        </w:rPr>
        <w:t>五、联系方式</w:t>
      </w:r>
      <w:bookmarkEnd w:id="21"/>
    </w:p>
    <w:p>
      <w:pPr>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2" w:name="OLE_LINK3"/>
      <w:bookmarkStart w:id="23" w:name="_Toc25460"/>
      <w:r>
        <w:rPr>
          <w:rFonts w:hint="eastAsia" w:ascii="微软雅黑" w:hAnsi="微软雅黑" w:eastAsia="微软雅黑" w:cs="微软雅黑"/>
          <w:color w:val="auto"/>
          <w:sz w:val="24"/>
          <w:szCs w:val="24"/>
          <w:highlight w:val="none"/>
        </w:rPr>
        <w:t>（一）采购人：重庆市两江新区人民医院</w:t>
      </w:r>
    </w:p>
    <w:p>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联系人：刘老师</w:t>
      </w:r>
      <w:r>
        <w:rPr>
          <w:rFonts w:hint="eastAsia" w:ascii="微软雅黑" w:hAnsi="微软雅黑" w:eastAsia="微软雅黑" w:cs="微软雅黑"/>
          <w:color w:val="auto"/>
          <w:sz w:val="24"/>
          <w:szCs w:val="24"/>
          <w:highlight w:val="none"/>
          <w:lang w:val="en-US" w:eastAsia="zh-CN"/>
        </w:rPr>
        <w:t xml:space="preserve"> 王老师</w:t>
      </w:r>
    </w:p>
    <w:p>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电  话：023-86791518</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023-86791820</w:t>
      </w:r>
    </w:p>
    <w:p>
      <w:pPr>
        <w:snapToGrid w:val="0"/>
        <w:spacing w:line="520" w:lineRule="exact"/>
        <w:ind w:firstLine="480" w:firstLineChars="200"/>
        <w:rPr>
          <w:rFonts w:hint="eastAsia" w:ascii="微软雅黑" w:hAnsi="微软雅黑" w:eastAsia="微软雅黑" w:cs="微软雅黑"/>
          <w:color w:val="auto"/>
          <w:sz w:val="24"/>
          <w:szCs w:val="24"/>
          <w:highlight w:val="none"/>
        </w:rPr>
        <w:sectPr>
          <w:pgSz w:w="11907" w:h="16840"/>
          <w:pgMar w:top="1134" w:right="1418" w:bottom="1134" w:left="1418" w:header="964" w:footer="992" w:gutter="0"/>
          <w:pgNumType w:fmt="numberInDash"/>
          <w:cols w:space="720" w:num="1"/>
          <w:docGrid w:linePitch="312" w:charSpace="0"/>
        </w:sectPr>
      </w:pPr>
      <w:r>
        <w:rPr>
          <w:rFonts w:hint="eastAsia" w:ascii="微软雅黑" w:hAnsi="微软雅黑" w:eastAsia="微软雅黑" w:cs="微软雅黑"/>
          <w:color w:val="auto"/>
          <w:sz w:val="24"/>
          <w:szCs w:val="24"/>
          <w:highlight w:val="none"/>
        </w:rPr>
        <w:t>地  址：重庆两江新区人民医院6号楼（科教楼）6</w:t>
      </w:r>
      <w:r>
        <w:rPr>
          <w:rFonts w:hint="eastAsia" w:ascii="微软雅黑" w:hAnsi="微软雅黑" w:eastAsia="微软雅黑" w:cs="微软雅黑"/>
          <w:color w:val="auto"/>
          <w:sz w:val="24"/>
          <w:szCs w:val="24"/>
          <w:highlight w:val="none"/>
          <w:lang w:val="en-US" w:eastAsia="zh-CN"/>
        </w:rPr>
        <w:t>楼</w:t>
      </w:r>
      <w:r>
        <w:rPr>
          <w:rFonts w:hint="eastAsia" w:ascii="微软雅黑" w:hAnsi="微软雅黑" w:eastAsia="微软雅黑" w:cs="微软雅黑"/>
          <w:color w:val="auto"/>
          <w:sz w:val="24"/>
          <w:szCs w:val="24"/>
          <w:highlight w:val="none"/>
        </w:rPr>
        <w:t>。</w:t>
      </w:r>
    </w:p>
    <w:p>
      <w:pPr>
        <w:pStyle w:val="2"/>
        <w:numPr>
          <w:ilvl w:val="0"/>
          <w:numId w:val="1"/>
        </w:numPr>
        <w:spacing w:line="360" w:lineRule="auto"/>
        <w:jc w:val="center"/>
        <w:rPr>
          <w:rFonts w:hint="eastAsia" w:ascii="微软雅黑" w:hAnsi="微软雅黑" w:eastAsia="微软雅黑" w:cs="微软雅黑"/>
          <w:b w:val="0"/>
          <w:color w:val="auto"/>
          <w:sz w:val="36"/>
          <w:szCs w:val="30"/>
          <w:highlight w:val="none"/>
        </w:rPr>
      </w:pPr>
      <w:bookmarkStart w:id="127" w:name="_GoBack"/>
      <w:bookmarkEnd w:id="127"/>
      <w:r>
        <w:rPr>
          <w:rFonts w:hint="eastAsia" w:ascii="微软雅黑" w:hAnsi="微软雅黑" w:eastAsia="微软雅黑" w:cs="微软雅黑"/>
          <w:b w:val="0"/>
          <w:color w:val="auto"/>
          <w:sz w:val="36"/>
          <w:szCs w:val="30"/>
          <w:highlight w:val="none"/>
        </w:rPr>
        <w:t>项目服务</w:t>
      </w:r>
      <w:bookmarkEnd w:id="22"/>
      <w:r>
        <w:rPr>
          <w:rFonts w:hint="eastAsia" w:ascii="微软雅黑" w:hAnsi="微软雅黑" w:eastAsia="微软雅黑" w:cs="微软雅黑"/>
          <w:b w:val="0"/>
          <w:color w:val="auto"/>
          <w:sz w:val="36"/>
          <w:szCs w:val="30"/>
          <w:highlight w:val="none"/>
        </w:rPr>
        <w:t>需求</w:t>
      </w:r>
      <w:bookmarkEnd w:id="23"/>
    </w:p>
    <w:p>
      <w:pPr>
        <w:pStyle w:val="3"/>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4" w:name="_Toc3382"/>
      <w:bookmarkStart w:id="25" w:name="_Toc12789058"/>
      <w:r>
        <w:rPr>
          <w:rFonts w:hint="eastAsia" w:ascii="微软雅黑" w:hAnsi="微软雅黑" w:eastAsia="微软雅黑" w:cs="微软雅黑"/>
          <w:color w:val="auto"/>
          <w:sz w:val="24"/>
          <w:szCs w:val="24"/>
          <w:highlight w:val="none"/>
        </w:rPr>
        <w:t>说明：“※”标注的部分为符合性审查中的实质性要求，若不满足按无效投标处理。</w:t>
      </w:r>
    </w:p>
    <w:p>
      <w:pPr>
        <w:pStyle w:val="3"/>
        <w:adjustRightInd w:val="0"/>
        <w:snapToGrid w:val="0"/>
        <w:spacing w:line="520" w:lineRule="exact"/>
        <w:rPr>
          <w:rFonts w:hint="eastAsia" w:ascii="微软雅黑" w:hAnsi="微软雅黑" w:eastAsia="微软雅黑" w:cs="微软雅黑"/>
          <w:color w:val="auto"/>
          <w:sz w:val="28"/>
          <w:szCs w:val="28"/>
          <w:highlight w:val="none"/>
        </w:rPr>
      </w:pPr>
      <w:r>
        <w:rPr>
          <w:rFonts w:hint="eastAsia" w:ascii="微软雅黑" w:hAnsi="微软雅黑" w:eastAsia="微软雅黑" w:cs="微软雅黑"/>
          <w:color w:val="auto"/>
          <w:sz w:val="28"/>
          <w:szCs w:val="28"/>
          <w:highlight w:val="none"/>
        </w:rPr>
        <w:t>一、服务内容</w:t>
      </w:r>
      <w:bookmarkEnd w:id="24"/>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负责采购人单次50万元（不含）以下采购项目，及单次 50 万元（含）以上但属政府采购目录外且交易中心不承接的项目的采购代理工作；具体内容包括但不限于以下工作：</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（一）协助采购人进行招标前期市场调研、组织产品推介会、组织现场探勘等前期工作，为采购人提供工作咨询服务；</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（二）负责编制采购文件，包括该类文件的澄清或补遗文件；根据采购人提供的需求情况编制采购文件，送采购人审核批准；</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（三）按照采购人审定的采购文件要求，编写采购公告并负责发布采购信息；</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（四）负责采购文件的发售、开标、评标、编写评标报告、评标结果的公示；</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（五）负责组织采购文件答疑会或对潜在代理机构书面答疑，并负责整理答疑资料，形成澄清或者补遗通知作为采购文件的一部分通知所有获取采购文件的潜在代理机构；</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（六）根据采购项目需求，负责组织或协助采购人组织专家参与评标，并支付评标专家劳务费；</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（七）负责办理投标保证金收取和退还事宜；在采购文件要求的期限内，督促成交供应商按时缴纳履约保证金或保函，并及时将相关证明材料交采购人（若有）。</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八）负责采购资料的整理及归档，并于确定中标或成交人后，向采购人移交采购过程的采购情况报告电子档及纸质档（纸质档须装订成册，包括但不限于采购过程中产生的全部纸质资料以及开评标活动等相关音视频资料，所有音视频资料刻录成光碟并做好标识）；</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（九）协助采购人发出成交通知书，拟制合同初稿，协助采购人完成采购合同的签订及公示（若有）。</w:t>
      </w:r>
    </w:p>
    <w:p>
      <w:pPr>
        <w:pStyle w:val="4"/>
        <w:ind w:firstLine="48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（十）协助处理采购项目中的投诉，及时告知采购人，按照相关法律或采购文件规定积极提出科学的措施，及时完成回复的拟制、修改、发出等工作。</w:t>
      </w:r>
    </w:p>
    <w:p>
      <w:pPr>
        <w:pStyle w:val="5"/>
        <w:ind w:firstLine="480"/>
        <w:rPr>
          <w:rFonts w:hint="eastAsia" w:ascii="微软雅黑" w:hAnsi="微软雅黑" w:eastAsia="微软雅黑" w:cs="微软雅黑"/>
          <w:color w:val="auto"/>
          <w:kern w:val="2"/>
          <w:szCs w:val="24"/>
          <w:highlight w:val="none"/>
        </w:rPr>
      </w:pPr>
      <w:r>
        <w:rPr>
          <w:rFonts w:hint="eastAsia" w:hAnsi="宋体" w:cs="宋体"/>
          <w:color w:val="auto"/>
          <w:sz w:val="20"/>
          <w:highlight w:val="none"/>
          <w:shd w:val="clear" w:color="auto" w:fill="FFFFFF"/>
          <w:lang w:bidi="ar"/>
        </w:rPr>
        <w:t>▲</w:t>
      </w:r>
      <w:r>
        <w:rPr>
          <w:rFonts w:hint="eastAsia" w:ascii="微软雅黑" w:hAnsi="微软雅黑" w:eastAsia="微软雅黑" w:cs="微软雅黑"/>
          <w:color w:val="auto"/>
          <w:kern w:val="2"/>
          <w:szCs w:val="24"/>
          <w:highlight w:val="none"/>
        </w:rPr>
        <w:t>（十一）派驻专人对采购人历年来采购项目档案进行专业的、规范化的整理和归档。</w:t>
      </w:r>
    </w:p>
    <w:p>
      <w:pPr>
        <w:ind w:firstLine="48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（十二）代理机构须提供常设每周7天×24小时服务专线和长期的免费技术支持。如采购有人有需要，需在3小时内到达现场。</w:t>
      </w:r>
    </w:p>
    <w:p>
      <w:pPr>
        <w:ind w:firstLine="480"/>
        <w:rPr>
          <w:color w:val="auto"/>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（十三）代理机构须不定期收集整理政府采购及招标投标有关法律、法规和地方规章制度，及时更新并向采购人提供相关文件；在合同期内，对采购人提供不少于壹次政府采购培训和相关政策宣讲。</w:t>
      </w:r>
    </w:p>
    <w:p>
      <w:pPr>
        <w:ind w:firstLine="480"/>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四）协助采购人完成由集采代理机构承接的项目和院内比选等项目，工作内容包括但不限于：需求调查（若需）、政府采购项目需求调查阶段相关文件拟制、组织产品推介会、采购（比选）文件的编制与审核、组织现场勘察和答疑会、质疑投诉的处理、参与会审</w:t>
      </w:r>
      <w:bookmarkStart w:id="26" w:name="OLE_LINK2"/>
      <w:r>
        <w:rPr>
          <w:rFonts w:hint="eastAsia" w:ascii="微软雅黑" w:hAnsi="微软雅黑" w:eastAsia="微软雅黑" w:cs="微软雅黑"/>
          <w:color w:val="auto"/>
          <w:sz w:val="24"/>
          <w:szCs w:val="24"/>
          <w:highlight w:val="none"/>
        </w:rPr>
        <w:t>（若需）</w:t>
      </w:r>
      <w:bookmarkEnd w:id="26"/>
      <w:r>
        <w:rPr>
          <w:rFonts w:hint="eastAsia" w:ascii="微软雅黑" w:hAnsi="微软雅黑" w:eastAsia="微软雅黑" w:cs="微软雅黑"/>
          <w:color w:val="auto"/>
          <w:sz w:val="24"/>
          <w:szCs w:val="24"/>
          <w:highlight w:val="none"/>
        </w:rPr>
        <w:t>、主持现场开标及分数统计（院内比选项目）、资料移交与送审、合同拟制等，过程中产生所有费用均由采购代理机构承担。</w:t>
      </w:r>
    </w:p>
    <w:p>
      <w:pPr>
        <w:ind w:firstLine="480"/>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（十五）采购代理机构须无条件配合采购人接受的各级审计、巡视工作。无条件接受采购人及其纪检监察、审计和其他行政主管部门监督。</w:t>
      </w:r>
    </w:p>
    <w:p>
      <w:pPr>
        <w:ind w:firstLine="48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十六）采购人有权要求成交采购代理机构提供医院常见采购项目重难点分析，分析的重点包括容易质疑及投诉的点分析、采购方式的选择及依据，质疑投诉处理预案等。主要分为1.固定资产类项目；2.办公耗材类（办公用品、日化品、日杂品、纸质印刷品、塑料印刷品）；3.维修材料类重难点分析；4.外包管理类项目（保安、保洁、洗涤、绿植维保等项目）；4.食品类项目；5.设施设备维保类项目（包含电力运维，中央空调维保等）；6.医院工程类项目。</w:t>
      </w:r>
      <w:r>
        <w:rPr>
          <w:rFonts w:hint="eastAsia" w:ascii="微软雅黑" w:hAnsi="微软雅黑" w:eastAsia="微软雅黑" w:cs="微软雅黑"/>
          <w:color w:val="auto"/>
          <w:sz w:val="24"/>
          <w:szCs w:val="24"/>
          <w:highlight w:val="none"/>
          <w:lang w:val="en-US" w:eastAsia="zh-CN"/>
        </w:rPr>
        <w:t>7.医学装备类项目。</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（十七）完成采购人交办的其他工作。</w:t>
      </w:r>
    </w:p>
    <w:p>
      <w:pPr>
        <w:spacing w:line="520" w:lineRule="exact"/>
        <w:ind w:firstLine="570"/>
        <w:jc w:val="left"/>
        <w:rPr>
          <w:rFonts w:hint="eastAsia" w:ascii="微软雅黑" w:hAnsi="微软雅黑" w:eastAsia="微软雅黑" w:cs="微软雅黑"/>
          <w:b/>
          <w:bCs/>
          <w:color w:val="auto"/>
          <w:sz w:val="22"/>
          <w:szCs w:val="22"/>
          <w:highlight w:val="none"/>
        </w:rPr>
      </w:pPr>
      <w:r>
        <w:rPr>
          <w:rFonts w:hint="eastAsia" w:ascii="微软雅黑" w:hAnsi="微软雅黑" w:eastAsia="微软雅黑" w:cs="微软雅黑"/>
          <w:b/>
          <w:bCs/>
          <w:color w:val="auto"/>
          <w:sz w:val="22"/>
          <w:szCs w:val="22"/>
          <w:highlight w:val="none"/>
        </w:rPr>
        <w:t>特别说明：在任何情况下，采购人不保证成交代理机构在服务周期内所获取的业务量与业务收入。</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27" w:name="_Toc10896"/>
      <w:bookmarkStart w:id="28" w:name="_Toc14525"/>
      <w:r>
        <w:rPr>
          <w:rFonts w:hint="eastAsia" w:ascii="微软雅黑" w:hAnsi="微软雅黑" w:eastAsia="微软雅黑" w:cs="微软雅黑"/>
          <w:color w:val="auto"/>
          <w:sz w:val="28"/>
          <w:szCs w:val="28"/>
          <w:highlight w:val="none"/>
        </w:rPr>
        <w:t>二、服务要求</w:t>
      </w:r>
      <w:bookmarkEnd w:id="27"/>
      <w:bookmarkEnd w:id="28"/>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b/>
          <w:bCs/>
          <w:color w:val="auto"/>
          <w:sz w:val="24"/>
          <w:szCs w:val="24"/>
          <w:highlight w:val="none"/>
        </w:rPr>
        <w:t>（一）代理行为合法合规</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采购代理机构必须严格执行国家采购法律法规，自觉接受采购人的业务指导和监督管理，全力维护采购人的合法权益；运用自身的专业技能为采购人提出专业建议，做好采购代理工作，并提供与采购项目有关的其它服务。在代理服务中的整个招标采购过程需按照国家政府采购相关法律法规的要求，符合代理项目的招标采购流程，不得有营私舞弊的行为。如因没有执行相关政策规定，或擅自改变采购人需求而没有明确告知等，损害采购人利益的，依法追究其责任，并上报当地主管部门或监管部门。</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采购代理机构向采购人移交的所有有关采购活动的资料，均须通过书面形式移交，采购人收悉后，将按审核意见予以回复；采购人向采购代理机构提出的意见建议，采购代理机构应予以审核，如与采购相关法规不符，采购代理机构应当予以拒绝并提出相应意见或建议，确保代理项目合法、合规。</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采购代理机构必须对采购人单位信息进行保密，在未经采购人事先书面同意的情况下，任何时候均不得将招标信息的任何内容或者从采购人处知晓的关于采购人单位的任何信息泄露给任何其它方。由此造成的影响由代理机构负全责，并取消资格，禁止代理我院任何采购项目，并依法追究其法律责任，上报当地主管部门或监管部门。</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采购代理机构须遵守相关管理规定，接受采购人的满意度评价或考核，接受采购人以任何形式对投标文件内容及采购人认为有必要的相关资料的真实性和有效性进行审查、验证，如不能或拒绝提供视为弃标或违约行为。</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（二）团队人员要求</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1.项目负责人1名，团队其他人员至少需包括资料员、档案管理人员、现场开标人员（至少2名），须按时按量完成采购人交办的工作。提供上述人员在本单位社保缴纳记录，要求详见烦资格审查部分。</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2.服务期限内若确实需要更换拟派负责人的，须征得采购人的同意，而且更换人员的技术职称和工作经验必须高于或等于拟派人员的技术职称和工作经验；</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3.服务期限内若确实需要更换拟派团队其他人员的，更换人员的技术职称和工作经验必须高于或等于拟派人员的技术职称和工作经验；</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(三）服务质量要求</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1.代理机构具有履行合同所必须的场所、设施设备和专业技术能力，如监控设备（开评标室均需），电子评标所需电脑设备，纸笔等。</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2.代理机构具有丰富的从事医疗卫生领域的政府采购和招标代理的经验，有经验丰富的法务团队，能及时合理处理招标采购质疑和投诉。</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3.代理机构应有预判项目风险的能力，及时提醒采购人可能存在的风险点和应对措施。在任何情况下，因代理机构的工作失误引起纠纷，代理机构需承担相应责任并视后果轻重给予包括但不局限于暂停委托、无条件解除协议等处罚。</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4.各委托项目的服务期：确定采购代理机构之日起，至所有采购项目的中标通知书发出及依法办理完成各项采购、中标手续并将各项资料完整地移交给采购人，且各方按协议完成保证金和手续费的应付、应收、应退的各项事宜为止。（如有特殊情况采购人取消采购任务或提出终止委托的除外）。</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5.采购代理机构承接每个项目前，应充分了解掌握采购项目需求情况，紧贴项目实际拟制各类采购文书，严禁随意将以往的采购文件复制剪贴，糊弄应付，甚至错漏百出。合同履约过程中，采购人将对入选的采购代理机构实施考评机制，考核超过三次评分为基本合格或一次为不合格的采购代理机构，医院有权单方面解除服务合同。</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6.采购代理机构须按合同约定的内容和时间完成工作。招标采购过程要做出工作进度表给采购人（若需），让采购人了解整个招标工作的进展情况；</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7.采购代理过程中，如遇有投标人质疑、投诉或作出情况说明等，采购代理机构在收到相关资料后，应根据自身专业知识及工作经验，分析原因，积极向采购人提出合法、合规的处理意见建议，并负责对相关问题进行回复。 </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8.采购代理机构的开评标场地应有完善的监控设备，代理机构应保证医院审计科、纪检监察科或上级部门可随时调取开评标现场监控资料，开评标场地在医院内部或交易中心的项目除外。</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9.在服务期限内，由采购人根据工作的特点和要求具体确定时间，代理机构必须在约定的时间内完成相关工作。以下为工作时限一般要求，紧急情况下的时限要求以采购人通知为准：</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（1）采购（招标）前期报建或需求调查阶段（如有），代理机构应在2个工作日内拟定完毕资料文件并传回采购人。 </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采购（招标）文件编制阶段，代理机构应在2个工作日内拟定初稿传采购人审核，在收到采购人修订意见后1个工作日内完成修改，定稿经采购人确认及相关部门审查备案（如需）后，代理机构应在1个工作日内对外发布。</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（3）答疑补遗阶段，代理机构应及时向采购人反馈质疑，提出初步处理建议，并在法定时间（若无法定时间，按采购人内控制度或采购文件执行）内组织答疑、补遗。</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（4）评审（评标）结果公告（公示）阶段，代理机构应当在评标结束后1个工作日内将评标报告送采购人，中标人确定后在法定期限内公告中标结果，按规定发出中标通知书。</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5）档案整理阶段，代理机构应在发出成交（中标）通知书后7日内按采购人规定整理1套完整采购（招标）档案资料并移交至采购人指定地点（封存资料的项目代理机构应当及时启封资料，并在启封后2个工作日内移交），并按采购人要求填报项目采购（招标）相关表格，同时代理机构应按规定留存一套完整采购（招标）档案资料存档15年。</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b/>
          <w:bCs/>
          <w:color w:val="auto"/>
          <w:sz w:val="24"/>
          <w:szCs w:val="24"/>
          <w:highlight w:val="none"/>
        </w:rPr>
        <w:t>提供档案管理制度、档案管理人员基本信息、档案存储地点和照片、档案储存地的房屋购买或房屋租赁的合同（原件必查），中标后采购人有权进行实地考察并不定期查看归档情况，若发现虚假应标，采购人有权直接解除合同。</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29" w:name="_Toc1361"/>
      <w:bookmarkStart w:id="30" w:name="_Toc8163"/>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三、采购代理服务费的收取标准</w:t>
      </w:r>
      <w:bookmarkEnd w:id="29"/>
      <w:bookmarkEnd w:id="30"/>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（一）项目代理服务费分为“按标准下浮率收费”、“最低收费”、“浮动收费”三种方式： </w:t>
      </w:r>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1.按标准收费：根据以下标准并结合所投折扣率进行计算（折扣率为固定值，不得为区间值，计算后精确到小数点后两位。）</w:t>
      </w:r>
    </w:p>
    <w:p>
      <w:pPr>
        <w:pStyle w:val="13"/>
        <w:ind w:firstLine="480" w:firstLineChars="200"/>
        <w:rPr>
          <w:rFonts w:hint="eastAsia" w:ascii="微软雅黑" w:hAnsi="微软雅黑" w:eastAsia="微软雅黑" w:cs="微软雅黑"/>
          <w:color w:val="auto"/>
          <w:highlight w:val="none"/>
        </w:rPr>
      </w:pPr>
    </w:p>
    <w:p>
      <w:pPr>
        <w:pStyle w:val="13"/>
        <w:ind w:firstLine="480" w:firstLineChars="200"/>
        <w:rPr>
          <w:rFonts w:hint="eastAsia" w:ascii="微软雅黑" w:hAnsi="微软雅黑" w:eastAsia="微软雅黑" w:cs="微软雅黑"/>
          <w:strike/>
          <w:color w:val="auto"/>
          <w:highlight w:val="none"/>
        </w:rPr>
      </w:pPr>
    </w:p>
    <w:tbl>
      <w:tblPr>
        <w:tblStyle w:val="14"/>
        <w:tblpPr w:leftFromText="180" w:rightFromText="180" w:vertAnchor="text" w:horzAnchor="page" w:tblpX="1764" w:tblpY="-5"/>
        <w:tblOverlap w:val="never"/>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2"/>
        <w:gridCol w:w="1833"/>
        <w:gridCol w:w="1767"/>
        <w:gridCol w:w="2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112" w:type="dxa"/>
            <w:tcBorders>
              <w:tl2br w:val="single" w:color="auto" w:sz="4" w:space="0"/>
            </w:tcBorders>
          </w:tcPr>
          <w:p>
            <w:pPr>
              <w:spacing w:line="520" w:lineRule="exact"/>
              <w:ind w:firstLine="1682" w:firstLineChars="801"/>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8+&#10;+YPWAAAACAEAAA8AAAAAAAAAAQAgAAAAIgAAAGRycy9kb3ducmV2LnhtbFBLAQIUABQAAAAIAIdO&#10;4kBFlFeY7AEAAOQDAAAOAAAAAAAAAAEAIAAAACUBAABkcnMvZTJvRG9jLnhtbFBLBQYAAAAABgAG&#10;AFkBAACDBQAAAAA=&#10;">
                      <v:fill on="f" focussize="0,0"/>
                      <v:stroke color="#000000" joinstyle="round"/>
                      <v:imagedata o:title=""/>
                      <o:lock v:ext="edit" aspectratio="f"/>
                    </v:line>
                  </w:pict>
                </mc:Fallback>
              </mc:AlternateContent>
            </w:r>
            <w:r>
              <w:rPr>
                <w:rFonts w:hint="eastAsia" w:ascii="微软雅黑" w:hAnsi="微软雅黑" w:eastAsia="微软雅黑" w:cs="微软雅黑"/>
                <w:color w:val="auto"/>
                <w:sz w:val="21"/>
                <w:szCs w:val="21"/>
                <w:highlight w:val="none"/>
              </w:rPr>
              <w:t>招标类型</w:t>
            </w:r>
          </w:p>
          <w:p>
            <w:pPr>
              <w:spacing w:line="520" w:lineRule="exact"/>
              <w:ind w:firstLine="210" w:firstLineChars="10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中标金额（万元）</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货物招标</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服务招标</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100以下</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100-200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1.1%</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0.8%</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200-500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1.08%</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0.78%</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0.76%</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0.43%</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1000-5000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5000-10000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0.09%</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10000-100000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1000000以上</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r>
    </w:tbl>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2.最低收费：当“按标准下浮率收费”计算出的采购代理费低于“最低收费”人民币叁仟元整时，采购代理费按“最低收费”人民币叁仟元整计取。</w:t>
      </w:r>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3.浮动收费：若发生国家政策调整等不可抗力因素，代理服务费可进行适当调整，具体金额与代理机构协商确定。</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代理服务费包含了采购人委托的招标、采购前期工作、咨询费、采购项目依法依规在相关指定媒体（含报纸）发布招标（采购）公告的刊登费用、专家抽取费用（招标代理机构需自行承担专家抽取费用）、开评标场地使用费、评标（评审）费（包括但不限于评审费、因招标失败多次产生的评审费、进口产品论证、配置技术论证、采购文件论证等费用、因采购人直接申请非招标采购方式须邀请专家对项目作相关评审证明意见所需费用、因招标失败需邀请专家对招标文件评审是否具有不合理条款的论证意见所需费用、评标（评审）期间评标委员会成员的误餐费、交通费、住宿费等需要抽取或邀请专家参与的费用）、处理质疑投诉费、资料费其他等，为完成招标采购全流程以及资料的送审、移交、储存、管理过程中发生的所有费用。因成交代理机构自身原因造成漏报、少报皆由其自行承担责任，报价不可更改。</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采购人不向成交代理机构支付任何费用（代垫费用除外）。在每个代理项目的采购文件中，供应商的报价中应涵盖代理服务费，采购代理机构必须在相应的采购文件中明确注明代理服务费。多次招标后产生中标人，采购代理机构只能收取一次采购代理服务费。若通过重庆市政府采购云平台采购，平台费用由医院承担。</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1" w:name="_Toc5270"/>
      <w:bookmarkStart w:id="32" w:name="_Toc17937"/>
      <w:r>
        <w:rPr>
          <w:rFonts w:hint="eastAsia" w:ascii="微软雅黑" w:hAnsi="微软雅黑" w:eastAsia="微软雅黑" w:cs="微软雅黑"/>
          <w:color w:val="auto"/>
          <w:sz w:val="28"/>
          <w:szCs w:val="28"/>
          <w:highlight w:val="none"/>
        </w:rPr>
        <w:t>四、委派方式</w:t>
      </w:r>
      <w:bookmarkEnd w:id="31"/>
      <w:bookmarkEnd w:id="32"/>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采购人根据《重庆市财政局关于印发《重庆市政府集中采购目录及采购限额标准》的通知》渝财规〔2023〕10号（后期若有新规定，按最新规定执行），</w:t>
      </w:r>
      <w:bookmarkStart w:id="33" w:name="_Toc485989042"/>
      <w:r>
        <w:rPr>
          <w:rFonts w:hint="eastAsia" w:ascii="微软雅黑" w:hAnsi="微软雅黑" w:eastAsia="微软雅黑" w:cs="微软雅黑"/>
          <w:color w:val="auto"/>
          <w:sz w:val="24"/>
          <w:szCs w:val="24"/>
          <w:highlight w:val="none"/>
        </w:rPr>
        <w:t>按服务周期一年与成交代理机构签订委托协议。若成交数量大于1，则按照评审排名先后，采用顺序轮候的方式开展委托事项，一事一委派。</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4" w:name="_Toc8284"/>
      <w:bookmarkStart w:id="35" w:name="_Toc5847"/>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五、</w:t>
      </w:r>
      <w:bookmarkStart w:id="36" w:name="_Toc117174820"/>
      <w:r>
        <w:rPr>
          <w:rFonts w:hint="eastAsia" w:ascii="微软雅黑" w:hAnsi="微软雅黑" w:eastAsia="微软雅黑" w:cs="微软雅黑"/>
          <w:color w:val="auto"/>
          <w:sz w:val="28"/>
          <w:szCs w:val="28"/>
          <w:highlight w:val="none"/>
        </w:rPr>
        <w:t>考核管理</w:t>
      </w:r>
      <w:bookmarkEnd w:id="34"/>
      <w:bookmarkEnd w:id="35"/>
      <w:bookmarkEnd w:id="36"/>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（一）采购人将制定相应的考核办法，考核频率为按项目对招标代理机构进行考核评估。服务期内，采购人有权对考核办法、考核频次进行调整。</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（二）有下列情况之一的，经调查核实后采购人有权解除合同，并保留向行政主管部门投诉的权利：</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1.在相关部门查询系统中存在不良记录的；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2.拒绝承担委托人的代理业务，或者擅自将受托项目转委托给第三方承担，或者未经采购人同意，擅自变更项目组成员的；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3.考核超过三次评分为基本合格或一次为不合格的代理机构，采购人有权提交院办公会通过后终止其代理协议；</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4.在履约期内因故放弃代理服务累计达两次的；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5.向他人透露开标评审（评标）信息的行为，导致医院受到质疑、投诉或处罚的；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6.违反法律法规和医院规定的招标工作程序、纪律要求的；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7.其他不按合同履行职责，违反政策规定，造成采购人利益损失的。</w:t>
      </w:r>
    </w:p>
    <w:p>
      <w:pPr>
        <w:pStyle w:val="18"/>
        <w:jc w:val="center"/>
        <w:rPr>
          <w:rFonts w:hint="eastAsia" w:ascii="宋体" w:hAnsi="宋体" w:cs="宋体"/>
          <w:color w:val="auto"/>
          <w:sz w:val="24"/>
          <w:szCs w:val="24"/>
          <w:highlight w:val="none"/>
        </w:rPr>
      </w:pPr>
    </w:p>
    <w:p>
      <w:pPr>
        <w:pStyle w:val="18"/>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代理机构服务质量项目考核表（按采购项目为单位考核）</w:t>
      </w:r>
    </w:p>
    <w:p>
      <w:pPr>
        <w:rPr>
          <w:color w:val="auto"/>
          <w:sz w:val="24"/>
          <w:szCs w:val="24"/>
          <w:highlight w:val="none"/>
        </w:rPr>
      </w:pPr>
    </w:p>
    <w:tbl>
      <w:tblPr>
        <w:tblStyle w:val="15"/>
        <w:tblW w:w="9566"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981"/>
        <w:gridCol w:w="891"/>
        <w:gridCol w:w="1700"/>
        <w:gridCol w:w="2626"/>
        <w:gridCol w:w="1235"/>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pPr>
              <w:widowControl/>
              <w:jc w:val="left"/>
              <w:rPr>
                <w:rFonts w:hint="eastAsia" w:ascii="宋体" w:hAnsi="宋体" w:cs="宋体"/>
                <w:b/>
                <w:bCs/>
                <w:color w:val="auto"/>
                <w:kern w:val="0"/>
                <w:sz w:val="24"/>
                <w:szCs w:val="24"/>
                <w:highlight w:val="none"/>
                <w:lang w:bidi="ar"/>
              </w:rPr>
            </w:pPr>
            <w:r>
              <w:rPr>
                <w:rFonts w:hint="eastAsia" w:ascii="宋体" w:hAnsi="宋体" w:cs="宋体"/>
                <w:b/>
                <w:bCs/>
                <w:color w:val="auto"/>
                <w:kern w:val="0"/>
                <w:sz w:val="24"/>
                <w:szCs w:val="24"/>
                <w:highlight w:val="none"/>
                <w:lang w:bidi="ar"/>
              </w:rPr>
              <w:t xml:space="preserve">项目名称 </w:t>
            </w:r>
          </w:p>
        </w:tc>
        <w:tc>
          <w:tcPr>
            <w:tcW w:w="6985" w:type="dxa"/>
            <w:gridSpan w:val="4"/>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pPr>
              <w:pStyle w:val="18"/>
              <w:ind w:left="0"/>
              <w:rPr>
                <w:rFonts w:hint="eastAsia" w:ascii="宋体" w:hAnsi="宋体" w:cs="宋体"/>
                <w:b/>
                <w:bCs/>
                <w:color w:val="auto"/>
                <w:kern w:val="2"/>
                <w:sz w:val="24"/>
                <w:szCs w:val="24"/>
                <w:highlight w:val="none"/>
                <w:lang w:bidi="ar"/>
              </w:rPr>
            </w:pPr>
            <w:r>
              <w:rPr>
                <w:rFonts w:hint="eastAsia" w:ascii="宋体" w:hAnsi="宋体" w:cs="宋体"/>
                <w:b/>
                <w:bCs/>
                <w:color w:val="auto"/>
                <w:kern w:val="2"/>
                <w:sz w:val="24"/>
                <w:szCs w:val="24"/>
                <w:highlight w:val="none"/>
                <w:lang w:bidi="ar"/>
              </w:rPr>
              <w:t>代理机构名称</w:t>
            </w:r>
          </w:p>
        </w:tc>
        <w:tc>
          <w:tcPr>
            <w:tcW w:w="6985" w:type="dxa"/>
            <w:gridSpan w:val="4"/>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restart"/>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 xml:space="preserve">代理项目人员组成 </w:t>
            </w: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 xml:space="preserve">项目负责人 </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continue"/>
          </w:tcPr>
          <w:p>
            <w:pPr>
              <w:pStyle w:val="18"/>
              <w:ind w:left="0"/>
              <w:rPr>
                <w:rFonts w:hint="eastAsia" w:ascii="宋体" w:hAnsi="宋体" w:cs="宋体"/>
                <w:color w:val="auto"/>
                <w:kern w:val="2"/>
                <w:sz w:val="24"/>
                <w:szCs w:val="24"/>
                <w:highlight w:val="none"/>
              </w:rPr>
            </w:pPr>
          </w:p>
        </w:tc>
        <w:tc>
          <w:tcPr>
            <w:tcW w:w="1700" w:type="dxa"/>
          </w:tcPr>
          <w:p>
            <w:pPr>
              <w:pStyle w:val="18"/>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工作人员</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restart"/>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招标活动基本信息</w:t>
            </w: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 xml:space="preserve">公告媒体 </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continue"/>
          </w:tcPr>
          <w:p>
            <w:pPr>
              <w:pStyle w:val="18"/>
              <w:ind w:left="0"/>
              <w:rPr>
                <w:rFonts w:hint="eastAsia" w:ascii="宋体" w:hAnsi="宋体" w:cs="宋体"/>
                <w:color w:val="auto"/>
                <w:kern w:val="2"/>
                <w:sz w:val="24"/>
                <w:szCs w:val="24"/>
                <w:highlight w:val="none"/>
              </w:rPr>
            </w:pPr>
          </w:p>
        </w:tc>
        <w:tc>
          <w:tcPr>
            <w:tcW w:w="1700" w:type="dxa"/>
          </w:tcPr>
          <w:p>
            <w:pPr>
              <w:pStyle w:val="18"/>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开评标时间</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1" w:type="dxa"/>
            <w:gridSpan w:val="3"/>
            <w:vMerge w:val="continue"/>
          </w:tcPr>
          <w:p>
            <w:pPr>
              <w:widowControl/>
              <w:jc w:val="left"/>
              <w:rPr>
                <w:rFonts w:hint="eastAsia" w:ascii="宋体" w:hAnsi="宋体" w:cs="宋体"/>
                <w:color w:val="auto"/>
                <w:sz w:val="24"/>
                <w:szCs w:val="24"/>
                <w:highlight w:val="none"/>
              </w:rPr>
            </w:pP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开评标地点</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pStyle w:val="18"/>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lang w:bidi="ar"/>
              </w:rPr>
              <w:t>序号</w:t>
            </w:r>
          </w:p>
        </w:tc>
        <w:tc>
          <w:tcPr>
            <w:tcW w:w="6198" w:type="dxa"/>
            <w:gridSpan w:val="4"/>
          </w:tcPr>
          <w:p>
            <w:pPr>
              <w:pStyle w:val="18"/>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lang w:bidi="ar"/>
              </w:rPr>
              <w:t>考核内容</w:t>
            </w:r>
          </w:p>
        </w:tc>
        <w:tc>
          <w:tcPr>
            <w:tcW w:w="1235" w:type="dxa"/>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扣分标准</w:t>
            </w:r>
          </w:p>
        </w:tc>
        <w:tc>
          <w:tcPr>
            <w:tcW w:w="1424" w:type="dxa"/>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 xml:space="preserve">扣分情况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基本行为规范要求及职业道德情况</w:t>
            </w: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开评标地点干净整洁，工作人员着装整洁，语言文明礼貌，不迟到早退，服务态度积极主动</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kern w:val="0"/>
                <w:sz w:val="24"/>
                <w:szCs w:val="24"/>
                <w:highlight w:val="none"/>
                <w:lang w:bidi="ar"/>
              </w:rPr>
            </w:pPr>
          </w:p>
        </w:tc>
        <w:tc>
          <w:tcPr>
            <w:tcW w:w="981" w:type="dxa"/>
            <w:vMerge w:val="continue"/>
            <w:vAlign w:val="center"/>
          </w:tcPr>
          <w:p>
            <w:pPr>
              <w:widowControl/>
              <w:rPr>
                <w:rFonts w:hint="eastAsia" w:ascii="宋体" w:hAnsi="宋体" w:cs="宋体"/>
                <w:color w:val="auto"/>
                <w:kern w:val="0"/>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及时完成采购人交办的任务，不随意拖延推脱。</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kern w:val="0"/>
                <w:sz w:val="24"/>
                <w:szCs w:val="24"/>
                <w:highlight w:val="none"/>
                <w:lang w:bidi="ar"/>
              </w:rPr>
            </w:pPr>
          </w:p>
        </w:tc>
        <w:tc>
          <w:tcPr>
            <w:tcW w:w="981" w:type="dxa"/>
            <w:vMerge w:val="continue"/>
            <w:vAlign w:val="center"/>
          </w:tcPr>
          <w:p>
            <w:pPr>
              <w:widowControl/>
              <w:rPr>
                <w:rFonts w:hint="eastAsia" w:ascii="宋体" w:hAnsi="宋体" w:cs="宋体"/>
                <w:color w:val="auto"/>
                <w:kern w:val="0"/>
                <w:sz w:val="24"/>
                <w:szCs w:val="24"/>
                <w:highlight w:val="none"/>
                <w:lang w:bidi="ar"/>
              </w:rPr>
            </w:pPr>
          </w:p>
        </w:tc>
        <w:tc>
          <w:tcPr>
            <w:tcW w:w="5217" w:type="dxa"/>
            <w:gridSpan w:val="3"/>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招标工作人员不遵守纪律规范要求，有影响评审（评标）委员会成员职业道德的行为</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发现一次扣10分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981" w:type="dxa"/>
            <w:vMerge w:val="restart"/>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文件编制情况</w:t>
            </w:r>
          </w:p>
        </w:tc>
        <w:tc>
          <w:tcPr>
            <w:tcW w:w="5217" w:type="dxa"/>
            <w:gridSpan w:val="3"/>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文件编制使用最新范本</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sz w:val="24"/>
                <w:szCs w:val="24"/>
                <w:highlight w:val="none"/>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按时限要求编制/修改采购人所需资料文件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编制文件认真、细致，内容完整齐全，招标范围明确，无缺、漏项，技术、经济条款清晰</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文件编制内容有明显倾向性，不符合法律法规要求，致使医院受到质疑、投诉或处罚的。</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发现一处扣20分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09" w:type="dxa"/>
            <w:vMerge w:val="restart"/>
            <w:vAlign w:val="center"/>
          </w:tcPr>
          <w:p>
            <w:pPr>
              <w:pStyle w:val="18"/>
              <w:ind w:left="0"/>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3</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组织协调服务情况</w:t>
            </w:r>
          </w:p>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工作人员配备齐全，准备工作充分，采购前期工作或开评标工作组织有序，程序合法，记录准确</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更换团队负责人、因故放弃代理服务的</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发现一次扣20分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尽力满足采购人、评委会成员的合理要求。</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pStyle w:val="18"/>
              <w:ind w:left="0"/>
              <w:rPr>
                <w:rFonts w:hint="eastAsia" w:ascii="宋体" w:hAnsi="宋体" w:cs="宋体"/>
                <w:b/>
                <w:bCs/>
                <w:color w:val="auto"/>
                <w:kern w:val="2"/>
                <w:sz w:val="24"/>
                <w:szCs w:val="24"/>
                <w:highlight w:val="none"/>
                <w:lang w:bidi="ar"/>
              </w:rPr>
            </w:pPr>
            <w:r>
              <w:rPr>
                <w:rFonts w:hint="eastAsia" w:ascii="宋体" w:hAnsi="宋体" w:cs="宋体"/>
                <w:color w:val="auto"/>
                <w:kern w:val="2"/>
                <w:sz w:val="24"/>
                <w:szCs w:val="24"/>
                <w:highlight w:val="none"/>
                <w:lang w:bidi="ar"/>
              </w:rPr>
              <w:t>4</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釆购活动开展情况</w:t>
            </w: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公告发布程序合法合规，规范按项目类别抽取评标专家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核查了采购文件要求核查的信息，准确无误；评标报告填写规范，签字齐全</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投标人质疑投诉处理规范、及时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开评标现场有完善的监控设备，可供医院审计或相关部门随时调取开评标现场录像</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pStyle w:val="18"/>
              <w:ind w:left="0"/>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5</w:t>
            </w:r>
          </w:p>
        </w:tc>
        <w:tc>
          <w:tcPr>
            <w:tcW w:w="981" w:type="dxa"/>
            <w:vMerge w:val="restart"/>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其他服务情况</w:t>
            </w: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在履约过程中，有风险预判能力，积极提出并实施了科学的措施，保证了代理合同的有效实施</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交流工作准备充分、内容全面、回答问题准确</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档案管理不规范（含监控资料）；档案递交/提供不及时；</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其他不符合遴选文件、响应文件或合同的情况</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备注：得分80分及以上的为合格，80分以下至 70分的为基本合格，70分以下的为不合格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项目负责人确认：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考核科室经办人：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考核科室负责人：</w:t>
            </w:r>
          </w:p>
        </w:tc>
      </w:tr>
    </w:tbl>
    <w:p>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pP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7" w:name="_Toc6146"/>
      <w:bookmarkStart w:id="38" w:name="_Toc18358"/>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六、违约责任</w:t>
      </w:r>
      <w:bookmarkEnd w:id="37"/>
      <w:bookmarkEnd w:id="38"/>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（一）采购代理机构被查证存在弄虚作假、提供不实资料等方式骗取中标的，采购人将解除其服务合同。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代理机构及其工作人员有违反国家有关法律法规行为的，采购人有权单方面终止服务合同，将采购代理机构纳入采购人采购代理黑名单，并通报有关部门，依照相关法律法规进行处理；涉嫌犯罪的，依法移交司法机关处理。采购代理机构的违法行为给他人造成损失的，应自行依法承担民事责任。</w:t>
      </w:r>
      <w:r>
        <w:rPr>
          <w:rFonts w:hint="eastAsia" w:ascii="微软雅黑" w:hAnsi="微软雅黑" w:eastAsia="微软雅黑" w:cs="微软雅黑"/>
          <w:color w:val="auto"/>
          <w:sz w:val="24"/>
          <w:szCs w:val="24"/>
          <w:highlight w:val="none"/>
        </w:rPr>
        <w:br w:type="textWrapping"/>
      </w:r>
      <w:r>
        <w:rPr>
          <w:rFonts w:hint="eastAsia" w:ascii="微软雅黑" w:hAnsi="微软雅黑" w:eastAsia="微软雅黑" w:cs="微软雅黑"/>
          <w:color w:val="auto"/>
          <w:sz w:val="24"/>
          <w:szCs w:val="24"/>
          <w:highlight w:val="none"/>
        </w:rPr>
        <w:t xml:space="preserve">    （三）采购代理机构存在《政府采购货物和服务招标投标管理办法》（财政部令第87号）第七十八条中所列明的违法行为情形之一的，采购人有权单方面终止服务合同，并将其违法行为通报有关部门，由有关部门责令限期整改，情节严重的，给予警告，对直接负责的主管人员和其他直接责任人员，由其行政主管部门或者有关机关给予处分，并予通报；采购代理机构有违法所得的，没收违法所得。</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（四）采购代理机构在采购代理过程中，如不按照本比选文件要求的服务内容、服务要求等提供采购代理服务，且经采购人书面通知要求整改而未整改的，采购人有权单方面终止服务合同。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采购代理机构不得因业务量大小、难易程度、地域远近而拒绝采购人委托的采购项目和工作内容，若无故不接受代理项目的，采购人有权单方面终止服务合同。在履约期内因故放弃代理服务累计达两次的，采购人有权单方面终止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（六）采购代理机构转包或未经采购人同意分包承接项目的，采购人将解除其服务合同。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（七）采购代理机构受到行政严重处罚或被司法机关认定存在商业贿赂等违法行为，采购人将解除其服务合同。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（八）如国家及本市相关法律法规发生变化或与现行法律法规有冲突，则按相关法律法规执行，采购人有权终止合同。</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9" w:name="_Toc19287"/>
      <w:bookmarkStart w:id="40" w:name="_Toc16824"/>
      <w:r>
        <w:rPr>
          <w:rFonts w:hint="eastAsia" w:ascii="微软雅黑" w:hAnsi="微软雅黑" w:eastAsia="微软雅黑" w:cs="微软雅黑"/>
          <w:color w:val="auto"/>
          <w:sz w:val="28"/>
          <w:szCs w:val="28"/>
          <w:highlight w:val="none"/>
        </w:rPr>
        <w:t>七、</w:t>
      </w:r>
      <w:bookmarkStart w:id="41" w:name="_Toc448308270"/>
      <w:bookmarkStart w:id="42" w:name="_Toc444601165"/>
      <w:bookmarkStart w:id="43" w:name="_Toc464133372"/>
      <w:r>
        <w:rPr>
          <w:rFonts w:hint="eastAsia" w:ascii="微软雅黑" w:hAnsi="微软雅黑" w:eastAsia="微软雅黑" w:cs="微软雅黑"/>
          <w:color w:val="auto"/>
          <w:sz w:val="28"/>
          <w:szCs w:val="28"/>
          <w:highlight w:val="none"/>
        </w:rPr>
        <w:t>其他</w:t>
      </w:r>
      <w:bookmarkEnd w:id="39"/>
      <w:bookmarkEnd w:id="40"/>
      <w:bookmarkEnd w:id="41"/>
      <w:bookmarkEnd w:id="42"/>
      <w:bookmarkEnd w:id="43"/>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（一）代理机构必须在响应文件中对以上条款和服务承诺明确列出，承诺内容必须达到本篇及比选文件其他条款的要求。</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（二）其他未尽事宜由供需双方再另行约定。</w:t>
      </w:r>
      <w:bookmarkEnd w:id="33"/>
    </w:p>
    <w:p>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sectPr>
          <w:headerReference r:id="rId9" w:type="first"/>
          <w:headerReference r:id="rId8" w:type="default"/>
          <w:pgSz w:w="11906" w:h="16838"/>
          <w:pgMar w:top="1985" w:right="1474" w:bottom="1701" w:left="1588" w:header="851" w:footer="1179" w:gutter="0"/>
          <w:cols w:space="720" w:num="1"/>
          <w:titlePg/>
          <w:docGrid w:linePitch="396" w:charSpace="-1260"/>
        </w:sectPr>
      </w:pPr>
    </w:p>
    <w:bookmarkEnd w:id="25"/>
    <w:p>
      <w:pPr>
        <w:pStyle w:val="2"/>
        <w:spacing w:line="360" w:lineRule="auto"/>
        <w:jc w:val="center"/>
        <w:rPr>
          <w:rFonts w:hint="eastAsia" w:ascii="微软雅黑" w:hAnsi="微软雅黑" w:eastAsia="微软雅黑" w:cs="微软雅黑"/>
          <w:b w:val="0"/>
          <w:color w:val="auto"/>
          <w:sz w:val="36"/>
          <w:szCs w:val="30"/>
          <w:highlight w:val="none"/>
        </w:rPr>
      </w:pPr>
      <w:bookmarkStart w:id="44" w:name="_Toc1620"/>
      <w:r>
        <w:rPr>
          <w:rFonts w:hint="eastAsia" w:ascii="微软雅黑" w:hAnsi="微软雅黑" w:eastAsia="微软雅黑" w:cs="微软雅黑"/>
          <w:b w:val="0"/>
          <w:color w:val="auto"/>
          <w:sz w:val="36"/>
          <w:szCs w:val="30"/>
          <w:highlight w:val="none"/>
        </w:rPr>
        <w:t>第三篇  竞选程序及方法、评审标准、无效响应和</w:t>
      </w:r>
      <w:r>
        <w:rPr>
          <w:rFonts w:hint="eastAsia" w:ascii="微软雅黑" w:hAnsi="微软雅黑" w:eastAsia="微软雅黑" w:cs="微软雅黑"/>
          <w:b w:val="0"/>
          <w:color w:val="auto"/>
          <w:sz w:val="36"/>
          <w:szCs w:val="36"/>
          <w:highlight w:val="none"/>
        </w:rPr>
        <w:t>采购终止</w:t>
      </w:r>
      <w:bookmarkEnd w:id="44"/>
    </w:p>
    <w:p>
      <w:pPr>
        <w:pStyle w:val="3"/>
        <w:spacing w:line="440" w:lineRule="exact"/>
        <w:rPr>
          <w:rFonts w:hint="eastAsia" w:ascii="微软雅黑" w:hAnsi="微软雅黑" w:eastAsia="微软雅黑" w:cs="微软雅黑"/>
          <w:color w:val="auto"/>
          <w:sz w:val="24"/>
          <w:szCs w:val="24"/>
          <w:highlight w:val="none"/>
        </w:rPr>
      </w:pPr>
      <w:bookmarkStart w:id="45" w:name="_Toc10989"/>
      <w:r>
        <w:rPr>
          <w:rFonts w:hint="eastAsia" w:ascii="微软雅黑" w:hAnsi="微软雅黑" w:eastAsia="微软雅黑" w:cs="微软雅黑"/>
          <w:color w:val="auto"/>
          <w:sz w:val="24"/>
          <w:szCs w:val="24"/>
          <w:highlight w:val="none"/>
        </w:rPr>
        <w:t>一、竞选程序及方法</w:t>
      </w:r>
      <w:bookmarkEnd w:id="45"/>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（一）竞选按竞争性比选文件规定的时间和地点进行，代理机构须有法定代表人或负责人（或其授权代表）参加并签到。</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（二）比选小组对各代理机构的资格条件、比选响应文件的有效性、完整性和响应程度进行审查。各代理机构只有在完全符合要求的前提下，才能参与正式比选。</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sz w:val="24"/>
          <w:szCs w:val="24"/>
          <w:highlight w:val="none"/>
        </w:rPr>
        <w:t>1、</w:t>
      </w:r>
      <w:r>
        <w:rPr>
          <w:rFonts w:hint="eastAsia" w:ascii="微软雅黑" w:hAnsi="微软雅黑" w:eastAsia="微软雅黑" w:cs="微软雅黑"/>
          <w:color w:val="auto"/>
          <w:kern w:val="0"/>
          <w:sz w:val="24"/>
          <w:szCs w:val="24"/>
          <w:highlight w:val="none"/>
        </w:rPr>
        <w:t>资格性审查。依据法律法规和竞争性比选文件的规定，对比选响应文件中的资格证明等进行审查，以确定代理机构是否具备比选资格。资格性审查资料表如下：</w:t>
      </w:r>
    </w:p>
    <w:tbl>
      <w:tblPr>
        <w:tblStyle w:val="14"/>
        <w:tblW w:w="0" w:type="auto"/>
        <w:tblInd w:w="-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3689"/>
        <w:gridCol w:w="44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序号</w:t>
            </w:r>
          </w:p>
        </w:tc>
        <w:tc>
          <w:tcPr>
            <w:tcW w:w="4398" w:type="dxa"/>
            <w:gridSpan w:val="2"/>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检查因素</w:t>
            </w:r>
          </w:p>
        </w:tc>
        <w:tc>
          <w:tcPr>
            <w:tcW w:w="4413" w:type="dxa"/>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restart"/>
            <w:vAlign w:val="center"/>
          </w:tcPr>
          <w:p>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（一）</w:t>
            </w:r>
          </w:p>
        </w:tc>
        <w:tc>
          <w:tcPr>
            <w:tcW w:w="709" w:type="dxa"/>
            <w:vMerge w:val="restart"/>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《中华人民共和国政府采购法》第二十二条规定</w:t>
            </w: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1.具有独立承担民事责任的能力</w:t>
            </w:r>
          </w:p>
        </w:tc>
        <w:tc>
          <w:tcPr>
            <w:tcW w:w="4413" w:type="dxa"/>
            <w:vAlign w:val="center"/>
          </w:tcPr>
          <w:p>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 xml:space="preserve">1.供应商法人营业执照（副本）（提供复印件）。 </w:t>
            </w:r>
          </w:p>
          <w:p>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2.供应商法定代表人及授权代表的身份证明和法定代表人授权委托书（若由法定代表人签署响应文件的，则无需提供授权委托书）。</w:t>
            </w:r>
          </w:p>
          <w:p>
            <w:pPr>
              <w:rPr>
                <w:rFonts w:hint="eastAsia" w:ascii="微软雅黑" w:hAnsi="微软雅黑" w:eastAsia="微软雅黑"/>
                <w:color w:val="auto"/>
                <w:sz w:val="21"/>
                <w:szCs w:val="21"/>
                <w:highlight w:val="none"/>
              </w:rPr>
            </w:pPr>
            <w:r>
              <w:rPr>
                <w:rFonts w:hint="eastAsia" w:ascii="微软雅黑" w:hAnsi="微软雅黑" w:eastAsia="微软雅黑" w:cs="微软雅黑"/>
                <w:bCs/>
                <w:color w:val="auto"/>
                <w:kern w:val="0"/>
                <w:sz w:val="21"/>
                <w:szCs w:val="21"/>
                <w:highlight w:val="none"/>
              </w:rPr>
              <w:t>3.供应商法定代表人、授权代表（若有）、项目负责人及团队其他人员开标截止日当月前3个月中任意一个月加盖社保局公章或电子章的社保证明，同时加盖投标人公章（注：授权代表的社保缴费单位须为投标人；法定代表人退休或未缴纳社保，须提供情况说明或相关证明材料，法定代表人或团队其他人员缴纳社保在其他单位的，须提供在其他单位参保的社保证明材料），若法定代表人直接参加投标的，则无需提供授权代表的社保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2.</w:t>
            </w:r>
            <w:r>
              <w:rPr>
                <w:rFonts w:hint="eastAsia" w:ascii="微软雅黑" w:hAnsi="微软雅黑" w:eastAsia="微软雅黑"/>
                <w:color w:val="auto"/>
                <w:sz w:val="21"/>
                <w:szCs w:val="21"/>
                <w:highlight w:val="none"/>
              </w:rPr>
              <w:t>具有良好的商业信誉和健全的财务会计制度</w:t>
            </w:r>
          </w:p>
        </w:tc>
        <w:tc>
          <w:tcPr>
            <w:tcW w:w="4413" w:type="dxa"/>
            <w:vMerge w:val="restart"/>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提供“基本资格条件承诺函”</w:t>
            </w:r>
            <w:r>
              <w:rPr>
                <w:rFonts w:hint="eastAsia" w:ascii="宋体" w:hAnsi="宋体" w:cs="宋体"/>
                <w:color w:val="auto"/>
                <w:sz w:val="21"/>
                <w:szCs w:val="21"/>
                <w:highlight w:val="none"/>
                <w:lang w:val="zh-CN"/>
              </w:rPr>
              <w:t>（见格式文件）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3.具有履行合同所必需的设备和专业技术能力</w:t>
            </w:r>
          </w:p>
        </w:tc>
        <w:tc>
          <w:tcPr>
            <w:tcW w:w="4413" w:type="dxa"/>
            <w:vMerge w:val="continue"/>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4.有依法缴纳税收和社会保障金的良好记录</w:t>
            </w:r>
          </w:p>
        </w:tc>
        <w:tc>
          <w:tcPr>
            <w:tcW w:w="4413" w:type="dxa"/>
            <w:vMerge w:val="continue"/>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5.参加政府采购活动前三年内，在经营活动中没有重大违法记录</w:t>
            </w:r>
          </w:p>
        </w:tc>
        <w:tc>
          <w:tcPr>
            <w:tcW w:w="4413" w:type="dxa"/>
            <w:vMerge w:val="continue"/>
            <w:vAlign w:val="center"/>
          </w:tcPr>
          <w:p>
            <w:pPr>
              <w:rPr>
                <w:rFonts w:hint="eastAsia" w:ascii="微软雅黑" w:hAnsi="微软雅黑" w:eastAsia="微软雅黑"/>
                <w:b/>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rPr>
            </w:pP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6.法律、行政法规规定的其他条件</w:t>
            </w:r>
          </w:p>
        </w:tc>
        <w:tc>
          <w:tcPr>
            <w:tcW w:w="4413" w:type="dxa"/>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817" w:type="dxa"/>
            <w:vAlign w:val="center"/>
          </w:tcPr>
          <w:p>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（二）</w:t>
            </w:r>
          </w:p>
        </w:tc>
        <w:tc>
          <w:tcPr>
            <w:tcW w:w="4398" w:type="dxa"/>
            <w:gridSpan w:val="2"/>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本项目的特定资格要求</w:t>
            </w:r>
          </w:p>
        </w:tc>
        <w:tc>
          <w:tcPr>
            <w:tcW w:w="4413"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s="微软雅黑"/>
                <w:color w:val="auto"/>
                <w:sz w:val="21"/>
                <w:szCs w:val="21"/>
                <w:highlight w:val="none"/>
              </w:rPr>
              <w:t>按“第一篇三、代理机构资格要求（二）本项目的特定资格要求”的要求提交。</w:t>
            </w:r>
          </w:p>
        </w:tc>
      </w:tr>
    </w:tbl>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注：</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①根据《中华人民共和国政府采购法实施条例》第十九条“参加政府采购活动前三年内，在经营活动中没有重大违法记录”中“重大违法记录”，是指代理机构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代理机构可于投标截止日期前通过 “信用中国”网站(www.creditchina.gov.cn)、"中国政府采购网"(www.ccgp.gov.cn)等渠道查询信用记录。</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2、符合性审查。依据竞争性比选文件的规定，从比选响应文件的有效性、完整性和对竞争性比选文件的响应程度进行审查，以确定是否对竞争性比选文件的实质性要求作出响应。符合性审查资料表如下：</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52"/>
        <w:gridCol w:w="1974"/>
        <w:gridCol w:w="5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Align w:val="center"/>
          </w:tcPr>
          <w:p>
            <w:pPr>
              <w:snapToGrid w:val="0"/>
              <w:spacing w:line="400" w:lineRule="exact"/>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序号</w:t>
            </w:r>
          </w:p>
        </w:tc>
        <w:tc>
          <w:tcPr>
            <w:tcW w:w="3526" w:type="dxa"/>
            <w:gridSpan w:val="2"/>
            <w:vAlign w:val="center"/>
          </w:tcPr>
          <w:p>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评审因素</w:t>
            </w:r>
          </w:p>
        </w:tc>
        <w:tc>
          <w:tcPr>
            <w:tcW w:w="5382" w:type="dxa"/>
            <w:vAlign w:val="center"/>
          </w:tcPr>
          <w:p>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有效性审查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响应文件签署</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响应文件电子文档上法定代表人（或其授权代表）的签字齐全。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法定代表人身份证明及授权委托书有效，符合网上竞采文件规定的格式，签字或盖章齐全。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只能有一个</w:t>
            </w: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报价唯一</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只能在采购预算范围内报价，</w:t>
            </w:r>
            <w:r>
              <w:rPr>
                <w:rFonts w:hint="eastAsia" w:ascii="微软雅黑" w:hAnsi="微软雅黑" w:eastAsia="微软雅黑" w:cs="微软雅黑"/>
                <w:color w:val="auto"/>
                <w:kern w:val="0"/>
                <w:sz w:val="21"/>
                <w:szCs w:val="21"/>
                <w:highlight w:val="none"/>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完整性审查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文件份数</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w:t>
            </w:r>
            <w:r>
              <w:rPr>
                <w:rFonts w:hint="eastAsia" w:ascii="微软雅黑" w:hAnsi="微软雅黑" w:eastAsia="微软雅黑" w:cs="微软雅黑"/>
                <w:color w:val="auto"/>
                <w:kern w:val="0"/>
                <w:sz w:val="21"/>
                <w:szCs w:val="21"/>
                <w:highlight w:val="none"/>
              </w:rPr>
              <w:t>份数</w:t>
            </w:r>
            <w:r>
              <w:rPr>
                <w:rFonts w:hint="eastAsia" w:ascii="微软雅黑" w:hAnsi="微软雅黑" w:eastAsia="微软雅黑" w:cs="微软雅黑"/>
                <w:color w:val="auto"/>
                <w:kern w:val="0"/>
                <w:sz w:val="21"/>
                <w:szCs w:val="21"/>
                <w:highlight w:val="none"/>
                <w:lang w:val="zh-CN"/>
              </w:rPr>
              <w:t>符合</w:t>
            </w:r>
            <w:r>
              <w:rPr>
                <w:rFonts w:hint="eastAsia" w:ascii="微软雅黑" w:hAnsi="微软雅黑" w:eastAsia="微软雅黑" w:cs="微软雅黑"/>
                <w:color w:val="auto"/>
                <w:kern w:val="0"/>
                <w:sz w:val="21"/>
                <w:szCs w:val="21"/>
                <w:highlight w:val="none"/>
              </w:rPr>
              <w:t>网上竞采</w:t>
            </w:r>
            <w:r>
              <w:rPr>
                <w:rFonts w:hint="eastAsia" w:ascii="微软雅黑" w:hAnsi="微软雅黑" w:eastAsia="微软雅黑" w:cs="微软雅黑"/>
                <w:color w:val="auto"/>
                <w:kern w:val="0"/>
                <w:sz w:val="21"/>
                <w:szCs w:val="21"/>
                <w:highlight w:val="none"/>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3</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响应程度审查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对网上竞采文件第二篇、第三篇规定的网上竞采内容作出响应。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671"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网上竞采有效期</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满足网上竞</w:t>
            </w:r>
            <w:r>
              <w:rPr>
                <w:rFonts w:hint="eastAsia" w:ascii="微软雅黑" w:hAnsi="微软雅黑" w:eastAsia="微软雅黑" w:cs="微软雅黑"/>
                <w:color w:val="auto"/>
                <w:kern w:val="0"/>
                <w:sz w:val="21"/>
                <w:szCs w:val="21"/>
                <w:highlight w:val="none"/>
                <w:lang w:val="zh-CN"/>
              </w:rPr>
              <w:t>采文件规定有效期为提交响应文件截止时间起90天。</w:t>
            </w:r>
          </w:p>
        </w:tc>
      </w:tr>
    </w:tbl>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澄清有关问题。比选小组在对比选响应文件的有效性、完整性和响应程度进行审查时，可以要求代理机构对比选响应文件中含义不明确、同类问题表述不一致或者有明显文字和计算错误的内容等作出必要的澄清、说明或者更正。代理机构的澄清、说明或者更正不得超出比选响应文件的范围或者改变比选响应文件的实质性内容。</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（四）比选小组要求代理机构澄清、说明或者更正比选响应文件应当以书面形式作出。代理机构的澄清、说明或者更正应当由法定代表人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或其授权代表签署或者加盖公章。由授权代表签署的，应当附法定代表人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授权书。</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（五）在比选过程中比选的任何一方不得向他人透露与比选有关的服务资料、价格或其他信息。</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在比选过程中，比选小组不得根据竞争性比选文件和比选情况实质性变动采购需求中的服务、商务要求以及合同草案条款。对竞争性比选文件作出的实质性变动是竞争性比选文件的有效组成部分，比选小组应当及时以书面形式同时通知所有参加比选的代理机构。</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（七）代理机构在比选时作出的所有书面承诺须由法定代表人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比选小组采用综合评分法对代理机构的比选响应文件和报价（含有效书面承诺）进行综合评分。综合评分法，是指比选响应文件满足竞争性比选文件全部实质性要求且按照评审因素的量化指标评审得分最高的代理机构为成交候选代理机构的评审方法。代理机构总得分为服务、商务等评定因素分别按照相应权重值计算分项得分后相加，满分为100分。</w:t>
      </w:r>
    </w:p>
    <w:p>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（九）比选小组各成员独立对每个有效响应（通过资格性审查、符合性审查的代理机构）的文件进行评价、打分，然后汇总每个代理机构每项评分因素的得分，并根据综合评分情况按照评审得分由高到低顺序推荐</w:t>
      </w:r>
      <w:r>
        <w:rPr>
          <w:rFonts w:hint="eastAsia" w:ascii="微软雅黑" w:hAnsi="微软雅黑" w:eastAsia="微软雅黑" w:cs="微软雅黑"/>
          <w:color w:val="auto"/>
          <w:sz w:val="24"/>
          <w:szCs w:val="24"/>
          <w:highlight w:val="none"/>
          <w:lang w:val="en-US" w:eastAsia="zh-CN"/>
        </w:rPr>
        <w:t>不高于</w:t>
      </w:r>
      <w:r>
        <w:rPr>
          <w:rFonts w:hint="eastAsia" w:ascii="微软雅黑" w:hAnsi="微软雅黑" w:eastAsia="微软雅黑" w:cs="微软雅黑"/>
          <w:color w:val="auto"/>
          <w:sz w:val="24"/>
          <w:szCs w:val="24"/>
          <w:highlight w:val="none"/>
        </w:rPr>
        <w:t>3名成交候选代理机构，并编写评审报告。若代理机构的评审得分相同的，按照报价由高到低的顺序排列推荐。评审得分且报价相同的，按照服务指标优劣顺序排列推荐。以上都相同的，按商务条款的优劣顺序排列推荐。</w:t>
      </w:r>
    </w:p>
    <w:p>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注：技术/服务部分得分为0分的供应商失去成为成交候选人的资格。</w:t>
      </w:r>
    </w:p>
    <w:p>
      <w:pPr>
        <w:pStyle w:val="3"/>
        <w:spacing w:line="440" w:lineRule="exact"/>
        <w:ind w:firstLine="240" w:firstLineChars="100"/>
        <w:rPr>
          <w:rFonts w:hint="eastAsia" w:ascii="微软雅黑" w:hAnsi="微软雅黑" w:eastAsia="微软雅黑" w:cs="微软雅黑"/>
          <w:color w:val="auto"/>
          <w:sz w:val="24"/>
          <w:szCs w:val="24"/>
          <w:highlight w:val="none"/>
        </w:rPr>
      </w:pPr>
      <w:bookmarkStart w:id="46" w:name="_Toc1763"/>
      <w:r>
        <w:rPr>
          <w:rFonts w:hint="eastAsia" w:ascii="微软雅黑" w:hAnsi="微软雅黑" w:eastAsia="微软雅黑" w:cs="微软雅黑"/>
          <w:color w:val="auto"/>
          <w:sz w:val="24"/>
          <w:szCs w:val="24"/>
          <w:highlight w:val="none"/>
        </w:rPr>
        <w:t>二、</w:t>
      </w:r>
      <w:bookmarkStart w:id="47" w:name="_Toc342913394"/>
      <w:bookmarkStart w:id="48" w:name="_Toc102227320"/>
      <w:r>
        <w:rPr>
          <w:rFonts w:hint="eastAsia" w:ascii="微软雅黑" w:hAnsi="微软雅黑" w:eastAsia="微软雅黑" w:cs="微软雅黑"/>
          <w:color w:val="auto"/>
          <w:sz w:val="24"/>
          <w:szCs w:val="24"/>
          <w:highlight w:val="none"/>
        </w:rPr>
        <w:t>评审标准</w:t>
      </w:r>
      <w:bookmarkEnd w:id="46"/>
    </w:p>
    <w:tbl>
      <w:tblPr>
        <w:tblStyle w:val="14"/>
        <w:tblW w:w="98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090"/>
        <w:gridCol w:w="1333"/>
        <w:gridCol w:w="4514"/>
        <w:gridCol w:w="2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436"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序号</w:t>
            </w:r>
          </w:p>
        </w:tc>
        <w:tc>
          <w:tcPr>
            <w:tcW w:w="1090"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评分因素及权值</w:t>
            </w:r>
          </w:p>
        </w:tc>
        <w:tc>
          <w:tcPr>
            <w:tcW w:w="1333"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分值</w:t>
            </w:r>
          </w:p>
        </w:tc>
        <w:tc>
          <w:tcPr>
            <w:tcW w:w="4514"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评分标准</w:t>
            </w:r>
          </w:p>
        </w:tc>
        <w:tc>
          <w:tcPr>
            <w:tcW w:w="2500" w:type="dxa"/>
            <w:vAlign w:val="center"/>
          </w:tcPr>
          <w:p>
            <w:pPr>
              <w:spacing w:line="240" w:lineRule="atLeast"/>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restart"/>
            <w:vAlign w:val="center"/>
          </w:tcPr>
          <w:p>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w:t>
            </w:r>
          </w:p>
        </w:tc>
        <w:tc>
          <w:tcPr>
            <w:tcW w:w="1090" w:type="dxa"/>
            <w:vMerge w:val="restart"/>
            <w:vAlign w:val="center"/>
          </w:tcPr>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服务部分（60%）</w:t>
            </w: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服务响应程度（10分）</w:t>
            </w:r>
          </w:p>
        </w:tc>
        <w:tc>
          <w:tcPr>
            <w:tcW w:w="4514" w:type="dxa"/>
            <w:vAlign w:val="center"/>
          </w:tcPr>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1.有效投标人的起评分为10分。</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 扣分条款：</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 xml:space="preserve">2.1 投标产品技术参数不满足招标文件重要技术参数需求的【本招标文件第二篇“服务内容和服务要求”部分（▲）号标注的部分】，每负偏离一条从起评分中扣除1分，扣完为止。 </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2.2投标产品技术参数不满足招标文件一般性技术需求的【即本招标文件第二篇 “服务内容和服务要求”部分（▲）和（※）号标注的部分除外】，每负偏离一条从起评分中扣除0.1分，扣完为止。</w:t>
            </w:r>
          </w:p>
        </w:tc>
        <w:tc>
          <w:tcPr>
            <w:tcW w:w="2500" w:type="dxa"/>
            <w:vAlign w:val="center"/>
          </w:tcPr>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注：每条（▲）号条款或每条一般性技术需求（非（▲）号和非（※）号条款）下有多个技术参数要求的，多个技术参数中只要其中一个不满足要求，即按不满足该条（▲）号条款或该条一般性技术需求进行相应扣分（多个技术参数中有多个条款不满足的，不重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招标代理工作服务方案（10分）</w:t>
            </w:r>
          </w:p>
        </w:tc>
        <w:tc>
          <w:tcPr>
            <w:tcW w:w="4514" w:type="dxa"/>
            <w:vAlign w:val="center"/>
          </w:tcPr>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代理机构结合</w:t>
            </w:r>
            <w:r>
              <w:rPr>
                <w:rFonts w:hint="eastAsia" w:ascii="微软雅黑" w:hAnsi="微软雅黑" w:eastAsia="微软雅黑" w:cs="微软雅黑"/>
                <w:color w:val="auto"/>
                <w:sz w:val="21"/>
                <w:szCs w:val="21"/>
                <w:highlight w:val="none"/>
              </w:rPr>
              <w:t>本项目实际情况、</w:t>
            </w:r>
            <w:r>
              <w:rPr>
                <w:rFonts w:hint="eastAsia" w:ascii="微软雅黑" w:hAnsi="微软雅黑" w:eastAsia="微软雅黑" w:cs="微软雅黑"/>
                <w:color w:val="auto"/>
                <w:kern w:val="0"/>
                <w:sz w:val="21"/>
                <w:szCs w:val="21"/>
                <w:highlight w:val="none"/>
              </w:rPr>
              <w:t>相关政策法规、自身情况和管理内控制度等方面，从政府采购招标代理服务工作的各个方面编制服务方案（包括但不限于拟派团队人员安排、代理公司内控制度、招标代理流程、应急措施、投诉质疑处理方案等采购全过程服务方案），评审人员根据代理机构提供的服务方案进行评审；每项起评分2分，单项内容每有一处瑕疵从单项起评分中扣除1分，扣完为止。内容与本项目无关或未提供实施方案的得0分。</w:t>
            </w:r>
          </w:p>
        </w:tc>
        <w:tc>
          <w:tcPr>
            <w:tcW w:w="2500" w:type="dxa"/>
            <w:vMerge w:val="restart"/>
            <w:vAlign w:val="center"/>
          </w:tcPr>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1.响应文件中提供书面方案，方案内容不超过100页，超过100页为无效方案，不得分。</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2.本部分所称的“瑕疵”包含但不限于以下内容：</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①内容表述不完整或缺少关键分析点或情况介绍说明；</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②无科学合理性、无可行性或先进性；</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③内容表述前后矛盾、无连贯性、内容存在逻辑漏洞；</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④常识性错误；</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⑤并不适用本项目特性或非专门针对本项目制定；</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⑥不利于本项目目标的实现，不适用于采购人单位现有情况；</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⑦现有技术条件下不可能实现采购目标；上述任意一种情形为1处瑕疵。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档案管理方案（30分）</w:t>
            </w:r>
          </w:p>
        </w:tc>
        <w:tc>
          <w:tcPr>
            <w:tcW w:w="4514" w:type="dxa"/>
            <w:vAlign w:val="center"/>
          </w:tcPr>
          <w:p>
            <w:pPr>
              <w:widowControl/>
              <w:adjustRightInd w:val="0"/>
              <w:snapToGrid w:val="0"/>
              <w:textAlignment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Cs/>
                <w:color w:val="auto"/>
                <w:kern w:val="0"/>
                <w:sz w:val="21"/>
                <w:szCs w:val="21"/>
                <w:highlight w:val="none"/>
              </w:rPr>
              <w:t>依据代理机构提供的档案管理方案进行评分，</w:t>
            </w:r>
            <w:r>
              <w:rPr>
                <w:rFonts w:hint="eastAsia" w:ascii="微软雅黑" w:hAnsi="微软雅黑" w:eastAsia="微软雅黑" w:cs="微软雅黑"/>
                <w:color w:val="auto"/>
                <w:kern w:val="0"/>
                <w:sz w:val="21"/>
                <w:szCs w:val="21"/>
                <w:highlight w:val="none"/>
              </w:rPr>
              <w:t>优（包括但不限于档案管理岗位设置、档案管理制度、档案存放内容标准、保密措施、档案移交流程、档案遗失或损毁处理方案等）</w:t>
            </w:r>
            <w:r>
              <w:rPr>
                <w:rFonts w:hint="eastAsia" w:ascii="微软雅黑" w:hAnsi="微软雅黑" w:eastAsia="微软雅黑" w:cs="微软雅黑"/>
                <w:bCs/>
                <w:color w:val="auto"/>
                <w:kern w:val="0"/>
                <w:sz w:val="21"/>
                <w:szCs w:val="21"/>
                <w:highlight w:val="none"/>
              </w:rPr>
              <w:t>：每项起评分5分，单项内容每有一处瑕疵从单项起评分中扣除1分，扣完为止。内容与本项目无关或未提供实施方案的得0分。</w:t>
            </w:r>
          </w:p>
        </w:tc>
        <w:tc>
          <w:tcPr>
            <w:tcW w:w="2500" w:type="dxa"/>
            <w:vMerge w:val="continue"/>
            <w:vAlign w:val="center"/>
          </w:tcPr>
          <w:p>
            <w:pPr>
              <w:spacing w:line="360" w:lineRule="exact"/>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开评标室配置（10分）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供应商应</w:t>
            </w:r>
            <w:bookmarkStart w:id="49" w:name="OLE_LINK4"/>
            <w:r>
              <w:rPr>
                <w:rFonts w:hint="eastAsia" w:ascii="微软雅黑" w:hAnsi="微软雅黑" w:eastAsia="微软雅黑" w:cs="微软雅黑"/>
                <w:bCs/>
                <w:color w:val="auto"/>
                <w:kern w:val="0"/>
                <w:sz w:val="21"/>
                <w:szCs w:val="21"/>
                <w:highlight w:val="none"/>
              </w:rPr>
              <w:t>提供“开评标室”证明材料</w:t>
            </w:r>
            <w:bookmarkEnd w:id="49"/>
            <w:r>
              <w:rPr>
                <w:rFonts w:hint="eastAsia" w:ascii="微软雅黑" w:hAnsi="微软雅黑" w:eastAsia="微软雅黑" w:cs="微软雅黑"/>
                <w:bCs/>
                <w:color w:val="auto"/>
                <w:kern w:val="0"/>
                <w:sz w:val="21"/>
                <w:szCs w:val="21"/>
                <w:highlight w:val="none"/>
              </w:rPr>
              <w:t>，包括但不限于：开标室、评标室、监控设备。提供上述全部证明材料得5分，根据各供应商提供的证明材料进行综合对比，在满足上述要求上，配置合理加5分，配置一般加2分，未提供或未按要求提供得0分，本项满分为10分。</w:t>
            </w:r>
          </w:p>
        </w:tc>
        <w:tc>
          <w:tcPr>
            <w:tcW w:w="2500" w:type="dxa"/>
            <w:vAlign w:val="center"/>
          </w:tcPr>
          <w:p>
            <w:pPr>
              <w:spacing w:line="36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Cs/>
                <w:color w:val="auto"/>
                <w:kern w:val="0"/>
                <w:sz w:val="21"/>
                <w:szCs w:val="21"/>
                <w:highlight w:val="none"/>
              </w:rPr>
              <w:t>提供“开评标室”证明材料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436" w:type="dxa"/>
            <w:vMerge w:val="restart"/>
            <w:vAlign w:val="center"/>
          </w:tcPr>
          <w:p>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w:t>
            </w:r>
          </w:p>
        </w:tc>
        <w:tc>
          <w:tcPr>
            <w:tcW w:w="1090" w:type="dxa"/>
            <w:vMerge w:val="restart"/>
            <w:vAlign w:val="center"/>
          </w:tcPr>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商务部分</w:t>
            </w:r>
          </w:p>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（40%）</w:t>
            </w: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业绩（16分）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1.2022年1月1日起至今供应商累计代理政府采购项目采购人个数，每提供1个得1分，满分8分。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2.2022年1月1日起至今供应商累计代理的政府采购项目数量，每提供1个得1分，满分8分。</w:t>
            </w:r>
          </w:p>
        </w:tc>
        <w:tc>
          <w:tcPr>
            <w:tcW w:w="2500" w:type="dxa"/>
            <w:vAlign w:val="center"/>
          </w:tcPr>
          <w:p>
            <w:pPr>
              <w:spacing w:line="240" w:lineRule="atLeast"/>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提供重庆市财政局政府采购管理系统相关证明（如采购计划表）复印件并加盖供应商公章，总得分最高为16分。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在渝规范存档资料</w:t>
            </w:r>
          </w:p>
          <w:p>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（4分）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提供采购存档资料保管年限在15年以上的项目，提供一个得2分，最多得4分。</w:t>
            </w:r>
          </w:p>
        </w:tc>
        <w:tc>
          <w:tcPr>
            <w:tcW w:w="2500"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提供清单明细表（内容应包含：序号、项目名称、采购公告、开标时间、采购人单位名称及联系电话、代理合同等），并承诺提供资料的属实。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团队人员</w:t>
            </w:r>
          </w:p>
          <w:p>
            <w:pPr>
              <w:spacing w:line="360" w:lineRule="exact"/>
              <w:jc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color w:val="auto"/>
                <w:sz w:val="21"/>
                <w:szCs w:val="21"/>
                <w:highlight w:val="none"/>
              </w:rPr>
              <w:t>（20分）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1.拟派本项目的项目负责人</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lang w:val="en-US" w:eastAsia="zh-CN"/>
              </w:rPr>
              <w:t>7分</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w:t>
            </w:r>
          </w:p>
          <w:p>
            <w:pPr>
              <w:widowControl/>
              <w:numPr>
                <w:ilvl w:val="0"/>
                <w:numId w:val="0"/>
              </w:numPr>
              <w:adjustRightInd w:val="0"/>
              <w:snapToGrid w:val="0"/>
              <w:ind w:leftChars="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具备研究生以上学历得2分；本科及以上学历的得1分，</w:t>
            </w:r>
            <w:r>
              <w:rPr>
                <w:rFonts w:hint="eastAsia" w:ascii="微软雅黑" w:hAnsi="微软雅黑" w:eastAsia="微软雅黑" w:cs="微软雅黑"/>
                <w:bCs/>
                <w:color w:val="auto"/>
                <w:kern w:val="0"/>
                <w:sz w:val="21"/>
                <w:szCs w:val="21"/>
                <w:highlight w:val="none"/>
                <w:lang w:val="en-US" w:eastAsia="zh-CN"/>
              </w:rPr>
              <w:t>本条款</w:t>
            </w:r>
            <w:r>
              <w:rPr>
                <w:rFonts w:hint="eastAsia" w:ascii="微软雅黑" w:hAnsi="微软雅黑" w:eastAsia="微软雅黑" w:cs="微软雅黑"/>
                <w:bCs/>
                <w:color w:val="auto"/>
                <w:kern w:val="0"/>
                <w:sz w:val="21"/>
                <w:szCs w:val="21"/>
                <w:highlight w:val="none"/>
              </w:rPr>
              <w:t>最高2分；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具备经济类或工程类高级职称的得5分；具备经济类或工程类中级职称的得3分，具备经济类或工程类初级或助理职称的得1分。本条款最高5分（经济类、工程类职称证书不得重复计分）；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2.拟派本项目团队人员中具备招标师或</w:t>
            </w:r>
            <w:r>
              <w:rPr>
                <w:rFonts w:hint="eastAsia" w:ascii="微软雅黑" w:hAnsi="微软雅黑" w:eastAsia="微软雅黑" w:cs="微软雅黑"/>
                <w:bCs/>
                <w:color w:val="auto"/>
                <w:kern w:val="0"/>
                <w:sz w:val="21"/>
                <w:szCs w:val="21"/>
                <w:highlight w:val="none"/>
                <w:lang w:val="en-US" w:eastAsia="zh-CN"/>
              </w:rPr>
              <w:t>采购</w:t>
            </w:r>
            <w:r>
              <w:rPr>
                <w:rFonts w:hint="eastAsia" w:ascii="微软雅黑" w:hAnsi="微软雅黑" w:eastAsia="微软雅黑" w:cs="微软雅黑"/>
                <w:bCs/>
                <w:color w:val="auto"/>
                <w:kern w:val="0"/>
                <w:sz w:val="21"/>
                <w:szCs w:val="21"/>
                <w:highlight w:val="none"/>
              </w:rPr>
              <w:t>师证书的得4分；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3.拟派本项目团队人员中同时具备2023-2024年重庆市政府采购代理机构从业人员培训合格证书，1人得1分，最高得3分。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4.拟派的团队人员具备法律职业资格证书的得3分（不论人数），无不得分。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5.拟派服务于本项目的人员具备2年及以上招标采购代理从业经历，提供1名人员得1分本项最多得3分。</w:t>
            </w:r>
          </w:p>
        </w:tc>
        <w:tc>
          <w:tcPr>
            <w:tcW w:w="2500" w:type="dxa"/>
            <w:vAlign w:val="center"/>
          </w:tcPr>
          <w:p>
            <w:pPr>
              <w:spacing w:line="240" w:lineRule="atLeast"/>
              <w:rPr>
                <w:rFonts w:hint="eastAsia" w:ascii="微软雅黑" w:hAnsi="微软雅黑" w:eastAsia="微软雅黑" w:cs="微软雅黑"/>
                <w:strike/>
                <w:color w:val="auto"/>
                <w:sz w:val="21"/>
                <w:szCs w:val="21"/>
                <w:highlight w:val="none"/>
              </w:rPr>
            </w:pPr>
            <w:r>
              <w:rPr>
                <w:rFonts w:hint="eastAsia" w:ascii="微软雅黑" w:hAnsi="微软雅黑" w:eastAsia="微软雅黑" w:cs="微软雅黑"/>
                <w:bCs/>
                <w:color w:val="auto"/>
                <w:kern w:val="0"/>
                <w:sz w:val="21"/>
                <w:szCs w:val="21"/>
                <w:highlight w:val="none"/>
              </w:rPr>
              <w:t>第1-4项提供服务团队的相关证书复印件，加盖代理机构公章。第5项提供项目服务团队人员招标采购代理从业经历承诺书(格式自拟), 服务团队人员与投标人签订的劳动合同复印件。</w:t>
            </w:r>
          </w:p>
        </w:tc>
      </w:tr>
    </w:tbl>
    <w:p>
      <w:pPr>
        <w:pStyle w:val="3"/>
        <w:spacing w:line="400" w:lineRule="exact"/>
        <w:rPr>
          <w:rFonts w:hint="eastAsia" w:ascii="微软雅黑" w:hAnsi="微软雅黑" w:eastAsia="微软雅黑" w:cs="微软雅黑"/>
          <w:color w:val="auto"/>
          <w:sz w:val="24"/>
          <w:szCs w:val="24"/>
          <w:highlight w:val="none"/>
        </w:rPr>
      </w:pPr>
      <w:bookmarkStart w:id="50" w:name="_Toc30319"/>
      <w:r>
        <w:rPr>
          <w:rFonts w:hint="eastAsia" w:ascii="微软雅黑" w:hAnsi="微软雅黑" w:eastAsia="微软雅黑" w:cs="微软雅黑"/>
          <w:color w:val="auto"/>
          <w:sz w:val="24"/>
          <w:szCs w:val="24"/>
          <w:highlight w:val="none"/>
        </w:rPr>
        <w:t>三、无效响应</w:t>
      </w:r>
      <w:bookmarkEnd w:id="50"/>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代理机构发生以下条款情况之一者，视为无效响应，其比选响应文件将被拒绝：</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（一）代理机构不符合规定的资格条件的；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（二）代理机构的法定代表人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或其授权代表未参加比选；</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（三）代理机构所提交的比选响应文件不按“第五篇比选响应文件编制要求”要求签署或盖章；</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（四）代理机构的报价超过采购预算或最高限价的；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（五）法定代表人为同一个人的两个及两个以上法人，母公司、全资子公司及其控股公司，在同一包采购中同时参与比选；</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（六）单位负责人为同一人或者存在直接控股、管理关系的不同代理机构，参加同一合同项下的政府采购活动的；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（七）为采购项目提供整体设计、规范编制或者项目管理、监理、检测等服务的代理机构，再参加该采购项目的其他采购活动；</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（八）代理机构比选有效期不满足竞争性比选文件要求的；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（九）代理机构比选响应文件内容有与国家现行法律法规相违背的内容，或附有采购人无法接受的条件；</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（十）代理机构以联合体形式参与比选的；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（十一）代理机构进行合同分包的；</w:t>
      </w:r>
    </w:p>
    <w:p>
      <w:pPr>
        <w:snapToGrid w:val="0"/>
        <w:spacing w:line="400" w:lineRule="exact"/>
        <w:ind w:firstLine="465"/>
        <w:rPr>
          <w:color w:val="auto"/>
          <w:highlight w:val="none"/>
        </w:rPr>
      </w:pPr>
      <w:r>
        <w:rPr>
          <w:rFonts w:hint="eastAsia" w:ascii="微软雅黑" w:hAnsi="微软雅黑" w:eastAsia="微软雅黑" w:cs="微软雅黑"/>
          <w:color w:val="auto"/>
          <w:sz w:val="24"/>
          <w:szCs w:val="24"/>
          <w:highlight w:val="none"/>
        </w:rPr>
        <w:t>（十二）代理机构被列入失信被执行人、重大税收违法案件当事人名单、政府采购严重违法失信行为记录名单及其他不符合《中华人民共和国政府采购法》第二十二条规定条件的。</w:t>
      </w:r>
    </w:p>
    <w:p>
      <w:pPr>
        <w:pStyle w:val="3"/>
        <w:spacing w:line="400" w:lineRule="exact"/>
        <w:rPr>
          <w:rFonts w:hint="eastAsia" w:ascii="微软雅黑" w:hAnsi="微软雅黑" w:eastAsia="微软雅黑" w:cs="微软雅黑"/>
          <w:color w:val="auto"/>
          <w:sz w:val="24"/>
          <w:szCs w:val="24"/>
          <w:highlight w:val="none"/>
        </w:rPr>
      </w:pPr>
      <w:bookmarkStart w:id="51" w:name="_Toc15215"/>
      <w:r>
        <w:rPr>
          <w:rFonts w:hint="eastAsia" w:ascii="微软雅黑" w:hAnsi="微软雅黑" w:eastAsia="微软雅黑" w:cs="微软雅黑"/>
          <w:color w:val="auto"/>
          <w:sz w:val="24"/>
          <w:szCs w:val="24"/>
          <w:highlight w:val="none"/>
        </w:rPr>
        <w:t>四、</w:t>
      </w:r>
      <w:bookmarkEnd w:id="47"/>
      <w:bookmarkEnd w:id="48"/>
      <w:r>
        <w:rPr>
          <w:rFonts w:hint="eastAsia" w:ascii="微软雅黑" w:hAnsi="微软雅黑" w:eastAsia="微软雅黑" w:cs="微软雅黑"/>
          <w:color w:val="auto"/>
          <w:sz w:val="24"/>
          <w:szCs w:val="24"/>
          <w:highlight w:val="none"/>
        </w:rPr>
        <w:t>采购终止</w:t>
      </w:r>
      <w:bookmarkEnd w:id="51"/>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出现下列情形之一的，采购人应当终止竞争性比选采购活动，发布项目终止公告并说明原因，重新开展采购活动：</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（一）因情况变化，不再符合规定的竞争性比选采购方式适用情形的；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（二）出现影响采购公正的违法、违规行为的；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（三）在采购过程中符合要求的代理机构或者报价未超过最高限价的代理机构不足3家。</w:t>
      </w:r>
      <w:bookmarkStart w:id="52" w:name="_Toc25083"/>
      <w:bookmarkStart w:id="53" w:name="_Toc102227313"/>
      <w:bookmarkStart w:id="54" w:name="_Toc12789059"/>
      <w:bookmarkStart w:id="55" w:name="_Toc11641055"/>
    </w:p>
    <w:p>
      <w:pPr>
        <w:pStyle w:val="2"/>
        <w:spacing w:line="360" w:lineRule="auto"/>
        <w:jc w:val="center"/>
        <w:rPr>
          <w:rFonts w:hint="eastAsia" w:ascii="微软雅黑" w:hAnsi="微软雅黑" w:eastAsia="微软雅黑" w:cs="微软雅黑"/>
          <w:b w:val="0"/>
          <w:color w:val="auto"/>
          <w:szCs w:val="30"/>
          <w:highlight w:val="none"/>
        </w:rPr>
      </w:pPr>
      <w:r>
        <w:rPr>
          <w:rFonts w:hint="eastAsia" w:ascii="微软雅黑" w:hAnsi="微软雅黑" w:eastAsia="微软雅黑" w:cs="微软雅黑"/>
          <w:b w:val="0"/>
          <w:color w:val="auto"/>
          <w:sz w:val="36"/>
          <w:szCs w:val="30"/>
          <w:highlight w:val="none"/>
        </w:rPr>
        <w:br w:type="page"/>
      </w:r>
      <w:bookmarkStart w:id="56" w:name="_Toc6069"/>
      <w:r>
        <w:rPr>
          <w:rFonts w:hint="eastAsia" w:ascii="微软雅黑" w:hAnsi="微软雅黑" w:eastAsia="微软雅黑" w:cs="微软雅黑"/>
          <w:b w:val="0"/>
          <w:color w:val="auto"/>
          <w:sz w:val="36"/>
          <w:szCs w:val="30"/>
          <w:highlight w:val="none"/>
        </w:rPr>
        <w:t>第四篇  代理机构须知</w:t>
      </w:r>
      <w:bookmarkEnd w:id="52"/>
      <w:bookmarkEnd w:id="53"/>
      <w:bookmarkEnd w:id="56"/>
    </w:p>
    <w:p>
      <w:pPr>
        <w:pStyle w:val="3"/>
        <w:spacing w:line="440" w:lineRule="exact"/>
        <w:rPr>
          <w:rFonts w:hint="eastAsia" w:ascii="微软雅黑" w:hAnsi="微软雅黑" w:eastAsia="微软雅黑" w:cs="微软雅黑"/>
          <w:color w:val="auto"/>
          <w:sz w:val="24"/>
          <w:szCs w:val="24"/>
          <w:highlight w:val="none"/>
        </w:rPr>
      </w:pPr>
      <w:bookmarkStart w:id="57" w:name="_Toc3716"/>
      <w:bookmarkStart w:id="58" w:name="_Toc9003"/>
      <w:bookmarkStart w:id="59" w:name="_Toc342913389"/>
      <w:r>
        <w:rPr>
          <w:rFonts w:hint="eastAsia" w:ascii="微软雅黑" w:hAnsi="微软雅黑" w:eastAsia="微软雅黑" w:cs="微软雅黑"/>
          <w:color w:val="auto"/>
          <w:sz w:val="24"/>
          <w:szCs w:val="24"/>
          <w:highlight w:val="none"/>
        </w:rPr>
        <w:t>一、比选费用</w:t>
      </w:r>
      <w:bookmarkEnd w:id="57"/>
      <w:bookmarkEnd w:id="58"/>
      <w:bookmarkEnd w:id="59"/>
    </w:p>
    <w:p>
      <w:pPr>
        <w:pStyle w:val="19"/>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参与比选的代理机构应承担其编制比选响应文件与递交比选响应文件所涉及的一切费用，不论比选结果如何，采购人在任何情况下无义务也无责任承担这些费用。</w:t>
      </w:r>
    </w:p>
    <w:p>
      <w:pPr>
        <w:pStyle w:val="3"/>
        <w:tabs>
          <w:tab w:val="left" w:pos="2640"/>
        </w:tabs>
        <w:spacing w:line="400" w:lineRule="exact"/>
        <w:rPr>
          <w:rFonts w:hint="eastAsia" w:ascii="微软雅黑" w:hAnsi="微软雅黑" w:eastAsia="微软雅黑" w:cs="微软雅黑"/>
          <w:color w:val="auto"/>
          <w:sz w:val="24"/>
          <w:szCs w:val="24"/>
          <w:highlight w:val="none"/>
        </w:rPr>
      </w:pPr>
      <w:bookmarkStart w:id="60" w:name="_Toc342913391"/>
      <w:bookmarkStart w:id="61" w:name="_Toc19556"/>
      <w:bookmarkStart w:id="62" w:name="_Toc7904"/>
      <w:r>
        <w:rPr>
          <w:rFonts w:hint="eastAsia" w:ascii="微软雅黑" w:hAnsi="微软雅黑" w:eastAsia="微软雅黑" w:cs="微软雅黑"/>
          <w:color w:val="auto"/>
          <w:sz w:val="24"/>
          <w:szCs w:val="24"/>
          <w:highlight w:val="none"/>
        </w:rPr>
        <w:t>二、竞争性比选文件</w:t>
      </w:r>
      <w:bookmarkEnd w:id="60"/>
      <w:bookmarkEnd w:id="61"/>
      <w:bookmarkEnd w:id="62"/>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（一）竞争性比选文件由采购邀请书、项目服务需求、项目商务需求、竞选程序及方法、评审标准、无效响应和采购终止、代理机构须知、政府采购合同、比选响应文件编制要求七部分组成。</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（二）采购人所作的一切有效的书面通知、修改及补充，都是竞争性比选文件不可分割的部分。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bookmarkStart w:id="63" w:name="_Toc318159349"/>
      <w:bookmarkStart w:id="64" w:name="_Toc318166429"/>
      <w:bookmarkStart w:id="65" w:name="_Toc318159780"/>
      <w:bookmarkStart w:id="66" w:name="_Toc318159160"/>
      <w:r>
        <w:rPr>
          <w:rFonts w:hint="eastAsia" w:ascii="微软雅黑" w:hAnsi="微软雅黑" w:eastAsia="微软雅黑" w:cs="微软雅黑"/>
          <w:color w:val="auto"/>
          <w:sz w:val="24"/>
          <w:szCs w:val="24"/>
          <w:highlight w:val="none"/>
        </w:rPr>
        <w:t>（三）竞争性比选文件的解释</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如对竞争性比选文件有疑问，必须以书面形式在提交比选响应文件截止时间3个工作日前向采购人要求澄清，采购人可视具体情况做出处理或答复。如代理机构未提出疑问，视为完全理解并同意本竞争性比选文件。一经进入比选程序，即视为代理机构已详细阅读全部文件资料，完全理解竞争性比选文件所有条款内容并同意放弃对这方面有不明白及误解的权利。</w:t>
      </w:r>
    </w:p>
    <w:p>
      <w:pPr>
        <w:snapToGrid w:val="0"/>
        <w:spacing w:line="40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四）评审的依据为竞争性比选文件和比选响应文件（含有效的书面承诺）。比选小组判断比选响应文件对竞争性比选文件的响应，仅基于比选响应文件本身而不靠外部证据（本比选文件第三篇澄清有关问题除外）。</w:t>
      </w:r>
    </w:p>
    <w:bookmarkEnd w:id="63"/>
    <w:bookmarkEnd w:id="64"/>
    <w:bookmarkEnd w:id="65"/>
    <w:bookmarkEnd w:id="66"/>
    <w:p>
      <w:pPr>
        <w:pStyle w:val="3"/>
        <w:spacing w:line="400" w:lineRule="exact"/>
        <w:rPr>
          <w:rFonts w:hint="eastAsia" w:ascii="微软雅黑" w:hAnsi="微软雅黑" w:eastAsia="微软雅黑" w:cs="微软雅黑"/>
          <w:color w:val="auto"/>
          <w:sz w:val="24"/>
          <w:szCs w:val="24"/>
          <w:highlight w:val="none"/>
        </w:rPr>
      </w:pPr>
      <w:bookmarkStart w:id="67" w:name="_Toc102227318"/>
      <w:bookmarkStart w:id="68" w:name="_Toc27595"/>
      <w:bookmarkStart w:id="69" w:name="_Toc342913392"/>
      <w:bookmarkStart w:id="70" w:name="_Toc2145"/>
      <w:bookmarkStart w:id="71" w:name="_Toc179714297"/>
      <w:r>
        <w:rPr>
          <w:rFonts w:hint="eastAsia" w:ascii="微软雅黑" w:hAnsi="微软雅黑" w:eastAsia="微软雅黑" w:cs="微软雅黑"/>
          <w:color w:val="auto"/>
          <w:sz w:val="24"/>
          <w:szCs w:val="24"/>
          <w:highlight w:val="none"/>
        </w:rPr>
        <w:t>三、比选要求</w:t>
      </w:r>
      <w:bookmarkEnd w:id="67"/>
      <w:bookmarkEnd w:id="68"/>
      <w:bookmarkEnd w:id="69"/>
      <w:bookmarkEnd w:id="70"/>
      <w:bookmarkEnd w:id="71"/>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（一）比选响应文件</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1、代理机构应当按照竞争性比选文件的要求编制比选响应文件，并对竞争性比选文件提出的要求和条件作出实质性响应，比选响应文件原则上采用软面订本，同时应编制完整的页码、目录。</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2、比选响应文件组成</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响应文件由第五篇“比选响应文件编制要求”规定的部分和代理机构所作的一切有效补充、修改和承诺等文件组成，代理机构应按照第五篇“比选响应文件编制要求”规定的目录顺序组织编写和装订，也可在基本格式基础上对表格进行扩展，未规定格式的由代理机构自定格式。</w:t>
      </w:r>
    </w:p>
    <w:p>
      <w:pPr>
        <w:numPr>
          <w:ilvl w:val="0"/>
          <w:numId w:val="2"/>
        </w:num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联合体</w:t>
      </w:r>
    </w:p>
    <w:p>
      <w:pPr>
        <w:spacing w:line="400" w:lineRule="exact"/>
        <w:ind w:firstLine="480" w:firstLineChars="200"/>
        <w:rPr>
          <w:color w:val="auto"/>
          <w:highlight w:val="none"/>
        </w:rPr>
      </w:pPr>
      <w:r>
        <w:rPr>
          <w:rFonts w:hint="eastAsia" w:ascii="微软雅黑" w:hAnsi="微软雅黑" w:eastAsia="微软雅黑" w:cs="微软雅黑"/>
          <w:color w:val="auto"/>
          <w:sz w:val="24"/>
          <w:szCs w:val="24"/>
          <w:highlight w:val="none"/>
        </w:rPr>
        <w:t>本项目不接受联合体参与比选。</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（三）比选有效期：比选响应文件及有关承诺文件有效期为提交比选响应文件截止时间起90天。</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（四）修正错误</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1、若代理机构所递交的比选响应文件中的价格出现大写金额和小写金额不一致的错误，以大写金额修正为准。</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2、比选小组按上述修正错误的原则及方法修正代理机构的报价，代理机构同意并签字确认后，修正后的报价对代理机构具有约束作用。如果代理机构不接受修正后的价格，将失去成为成交代理机构的资格。</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（五）提交比选响应文件的份数和签署</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1、响应文件一式</w:t>
      </w:r>
      <w:r>
        <w:rPr>
          <w:rFonts w:hint="eastAsia" w:ascii="微软雅黑" w:hAnsi="微软雅黑" w:eastAsia="微软雅黑" w:cs="微软雅黑"/>
          <w:color w:val="auto"/>
          <w:sz w:val="24"/>
          <w:szCs w:val="24"/>
          <w:highlight w:val="none"/>
          <w:lang w:val="en-US" w:eastAsia="zh-CN"/>
        </w:rPr>
        <w:t>肆</w:t>
      </w:r>
      <w:r>
        <w:rPr>
          <w:rFonts w:hint="eastAsia" w:ascii="微软雅黑" w:hAnsi="微软雅黑" w:eastAsia="微软雅黑" w:cs="微软雅黑"/>
          <w:color w:val="auto"/>
          <w:sz w:val="24"/>
          <w:szCs w:val="24"/>
          <w:highlight w:val="none"/>
        </w:rPr>
        <w:t>份，其中正本一份，副本2份，电子文档一份（电子文档内容应与纸质文件正本一致，如不一致以纸质文件正本为准。推荐采用U盘为电子文档载体）；副本可为正本的复印件，应与正本一致，如出现不一致情况以正本为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w:t>
      </w:r>
      <w:r>
        <w:rPr>
          <w:rFonts w:hint="eastAsia" w:ascii="微软雅黑" w:hAnsi="微软雅黑" w:eastAsia="微软雅黑" w:cs="微软雅黑"/>
          <w:color w:val="auto"/>
          <w:sz w:val="24"/>
          <w:highlight w:val="none"/>
        </w:rPr>
        <w:t>在比选响应文件正本中，竞争性比选文件第五篇比选响应文件编制要求中规定签署、盖章的地方必须按其规定签署、盖章。</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（六）比选响应文件的递交</w:t>
      </w:r>
    </w:p>
    <w:p>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 比选响应文件的密封与标记</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highlight w:val="none"/>
        </w:rPr>
        <w:t>1.1比选响应文件的正本、副本、电子文档均应密封送达比选地点，应在封套上注明比选项目名称、代理机构名称。若正本、副本分别进行密封的，还应在封套上注明“正本”、“副本”、“电子文档”字样。</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（七）代理机构参与人员</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各个代理机构可根据采购人要求派1名代表参与比选，应为法定代表人（或负责人）或具有法定代表人（或负责人）授权委托书的授权代表。</w:t>
      </w:r>
    </w:p>
    <w:p>
      <w:pPr>
        <w:pStyle w:val="3"/>
        <w:spacing w:line="400" w:lineRule="exact"/>
        <w:rPr>
          <w:rFonts w:hint="eastAsia" w:ascii="微软雅黑" w:hAnsi="微软雅黑" w:eastAsia="微软雅黑" w:cs="微软雅黑"/>
          <w:color w:val="auto"/>
          <w:sz w:val="24"/>
          <w:szCs w:val="24"/>
          <w:highlight w:val="none"/>
        </w:rPr>
      </w:pPr>
      <w:bookmarkStart w:id="72" w:name="_Toc22541"/>
      <w:bookmarkStart w:id="73" w:name="_Toc20820"/>
      <w:r>
        <w:rPr>
          <w:rFonts w:hint="eastAsia" w:ascii="微软雅黑" w:hAnsi="微软雅黑" w:eastAsia="微软雅黑" w:cs="微软雅黑"/>
          <w:color w:val="auto"/>
          <w:sz w:val="24"/>
          <w:szCs w:val="24"/>
          <w:highlight w:val="none"/>
        </w:rPr>
        <w:t>四、成交代理机构的确认和变更</w:t>
      </w:r>
      <w:bookmarkEnd w:id="72"/>
      <w:bookmarkEnd w:id="73"/>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（一）中选人的确认</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人应当在收到评审报告后5个工作日内，从评审报告提出的成交候选代理机构中，按照排序由高到低的原则确定中选人，也可以书面授权比选小组直接确定中选人。采购人逾期未确定成交代理机构且不提出异议的，视为确定评审报告提出的排序前三的代理机构为中选人。</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（二）中选人的变更</w:t>
      </w:r>
    </w:p>
    <w:p>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中选人拒绝与采购人签订合同的，采购人可以按照评标报告推荐的中选人顺序，确定排名下一位的候选人为</w:t>
      </w:r>
      <w:r>
        <w:rPr>
          <w:rFonts w:hint="eastAsia" w:ascii="微软雅黑" w:hAnsi="微软雅黑" w:eastAsia="微软雅黑" w:cs="微软雅黑"/>
          <w:color w:val="auto"/>
          <w:sz w:val="24"/>
          <w:szCs w:val="24"/>
          <w:highlight w:val="none"/>
        </w:rPr>
        <w:t>中选人</w:t>
      </w:r>
      <w:r>
        <w:rPr>
          <w:rFonts w:hint="eastAsia" w:ascii="微软雅黑" w:hAnsi="微软雅黑" w:eastAsia="微软雅黑" w:cs="微软雅黑"/>
          <w:color w:val="auto"/>
          <w:sz w:val="24"/>
          <w:highlight w:val="none"/>
        </w:rPr>
        <w:t>，也可以重新开展采购活动。</w:t>
      </w:r>
    </w:p>
    <w:p>
      <w:pPr>
        <w:pStyle w:val="3"/>
        <w:spacing w:line="400" w:lineRule="exact"/>
        <w:rPr>
          <w:rFonts w:hint="eastAsia" w:ascii="微软雅黑" w:hAnsi="微软雅黑" w:eastAsia="微软雅黑" w:cs="微软雅黑"/>
          <w:color w:val="auto"/>
          <w:sz w:val="24"/>
          <w:szCs w:val="24"/>
          <w:highlight w:val="none"/>
        </w:rPr>
      </w:pPr>
      <w:bookmarkStart w:id="74" w:name="_Toc8404"/>
      <w:bookmarkStart w:id="75" w:name="_Toc102227321"/>
      <w:bookmarkStart w:id="76" w:name="_Toc9867"/>
      <w:bookmarkStart w:id="77" w:name="_Toc342913395"/>
      <w:r>
        <w:rPr>
          <w:rFonts w:hint="eastAsia" w:ascii="微软雅黑" w:hAnsi="微软雅黑" w:eastAsia="微软雅黑" w:cs="微软雅黑"/>
          <w:color w:val="auto"/>
          <w:sz w:val="24"/>
          <w:szCs w:val="24"/>
          <w:highlight w:val="none"/>
        </w:rPr>
        <w:t>五、成交通知</w:t>
      </w:r>
      <w:bookmarkEnd w:id="74"/>
      <w:bookmarkEnd w:id="75"/>
      <w:bookmarkEnd w:id="76"/>
      <w:bookmarkEnd w:id="77"/>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（一）采购人将在重庆两江新区人民医院官网上发布成交结果公告。</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（二）结果公告发出同时，采购人将以书面形式或口头通知发出中选通知。中选通知一经发出即发生法律效力。</w:t>
      </w:r>
    </w:p>
    <w:p>
      <w:pPr>
        <w:pStyle w:val="3"/>
        <w:spacing w:line="400" w:lineRule="exact"/>
        <w:rPr>
          <w:rFonts w:hint="eastAsia" w:ascii="微软雅黑" w:hAnsi="微软雅黑" w:eastAsia="微软雅黑" w:cs="微软雅黑"/>
          <w:color w:val="auto"/>
          <w:sz w:val="24"/>
          <w:szCs w:val="24"/>
          <w:highlight w:val="none"/>
        </w:rPr>
      </w:pPr>
      <w:bookmarkStart w:id="78" w:name="_Toc102227322"/>
      <w:bookmarkStart w:id="79" w:name="_Toc342913396"/>
      <w:bookmarkStart w:id="80" w:name="_Toc3328"/>
      <w:bookmarkStart w:id="81" w:name="_Toc5478"/>
      <w:r>
        <w:rPr>
          <w:rFonts w:hint="eastAsia" w:ascii="微软雅黑" w:hAnsi="微软雅黑" w:eastAsia="微软雅黑" w:cs="微软雅黑"/>
          <w:color w:val="auto"/>
          <w:sz w:val="24"/>
          <w:szCs w:val="24"/>
          <w:highlight w:val="none"/>
        </w:rPr>
        <w:t>六、签订</w:t>
      </w:r>
      <w:bookmarkEnd w:id="78"/>
      <w:r>
        <w:rPr>
          <w:rFonts w:hint="eastAsia" w:ascii="微软雅黑" w:hAnsi="微软雅黑" w:eastAsia="微软雅黑" w:cs="微软雅黑"/>
          <w:color w:val="auto"/>
          <w:sz w:val="24"/>
          <w:szCs w:val="24"/>
          <w:highlight w:val="none"/>
        </w:rPr>
        <w:t>合同</w:t>
      </w:r>
      <w:bookmarkEnd w:id="79"/>
      <w:bookmarkEnd w:id="80"/>
      <w:bookmarkEnd w:id="81"/>
    </w:p>
    <w:p>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（一）采购人原则上应在成交通知书发出之日起</w:t>
      </w:r>
      <w:r>
        <w:rPr>
          <w:rFonts w:hint="eastAsia" w:ascii="微软雅黑" w:hAnsi="微软雅黑" w:eastAsia="微软雅黑" w:cs="微软雅黑"/>
          <w:color w:val="auto"/>
          <w:sz w:val="24"/>
          <w:szCs w:val="24"/>
          <w:highlight w:val="none"/>
          <w:lang w:val="en-US" w:eastAsia="zh-CN"/>
        </w:rPr>
        <w:t>三</w:t>
      </w:r>
      <w:r>
        <w:rPr>
          <w:rFonts w:hint="eastAsia" w:ascii="微软雅黑" w:hAnsi="微软雅黑" w:eastAsia="微软雅黑" w:cs="微软雅黑"/>
          <w:color w:val="auto"/>
          <w:sz w:val="24"/>
          <w:szCs w:val="24"/>
          <w:highlight w:val="none"/>
        </w:rPr>
        <w:t>十日内和成交代理机构签订采购合同，无正当理由不得拒绝或拖延合同签订。所签订的合同不得对竞争性比选文件和代理机构的比选响应文件作实质性修改。其他未尽事宜由采购人和成交代理机构在采购合同中详细约定。   （二）竞争性比选文件、代理机构的比选响应文件及澄清文件等，均为签订采购合同的依据。</w:t>
      </w:r>
    </w:p>
    <w:p>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（三）合同生效条款由供需双方约定，法律、行政法规规定应当办理批准、登记等手续后生效的合同，依照其规定。</w:t>
      </w:r>
    </w:p>
    <w:p>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（四）合同原则上应按采购人提供的合同文件签订，相关单位要求适用合同通用格式版本的，应按其要求另行签订其他合同。</w:t>
      </w:r>
    </w:p>
    <w:p>
      <w:pPr>
        <w:numPr>
          <w:ilvl w:val="0"/>
          <w:numId w:val="3"/>
        </w:numPr>
        <w:jc w:val="center"/>
        <w:outlineLvl w:val="0"/>
        <w:rPr>
          <w:rFonts w:hint="eastAsia" w:ascii="微软雅黑" w:hAnsi="微软雅黑" w:eastAsia="微软雅黑" w:cs="微软雅黑"/>
          <w:color w:val="auto"/>
          <w:sz w:val="36"/>
          <w:szCs w:val="30"/>
          <w:highlight w:val="none"/>
        </w:rPr>
      </w:pPr>
      <w:r>
        <w:rPr>
          <w:rFonts w:hint="eastAsia" w:ascii="微软雅黑" w:hAnsi="微软雅黑" w:eastAsia="微软雅黑" w:cs="微软雅黑"/>
          <w:color w:val="auto"/>
          <w:sz w:val="36"/>
          <w:szCs w:val="36"/>
          <w:highlight w:val="none"/>
        </w:rPr>
        <w:br w:type="page"/>
      </w:r>
      <w:bookmarkEnd w:id="54"/>
      <w:bookmarkEnd w:id="55"/>
      <w:bookmarkStart w:id="82" w:name="_Hlt41879464"/>
      <w:bookmarkEnd w:id="82"/>
      <w:bookmarkStart w:id="83" w:name="_Toc12789072"/>
      <w:r>
        <w:rPr>
          <w:rFonts w:hint="eastAsia" w:ascii="微软雅黑" w:hAnsi="微软雅黑" w:eastAsia="微软雅黑" w:cs="微软雅黑"/>
          <w:color w:val="auto"/>
          <w:sz w:val="36"/>
          <w:szCs w:val="30"/>
          <w:highlight w:val="none"/>
        </w:rPr>
        <w:t xml:space="preserve"> </w:t>
      </w:r>
      <w:bookmarkEnd w:id="83"/>
      <w:r>
        <w:rPr>
          <w:rFonts w:hint="eastAsia" w:ascii="微软雅黑" w:hAnsi="微软雅黑" w:eastAsia="微软雅黑" w:cs="微软雅黑"/>
          <w:color w:val="auto"/>
          <w:sz w:val="36"/>
          <w:szCs w:val="30"/>
          <w:highlight w:val="none"/>
        </w:rPr>
        <w:t>比选响应文件编制要求</w:t>
      </w:r>
    </w:p>
    <w:p>
      <w:pPr>
        <w:pStyle w:val="4"/>
        <w:rPr>
          <w:color w:val="auto"/>
          <w:highlight w:val="none"/>
        </w:rPr>
      </w:pP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一、响应文件封面</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二、经济部分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三、服务响应偏离表</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四、资格条件及其他</w:t>
      </w:r>
    </w:p>
    <w:p>
      <w:pPr>
        <w:spacing w:line="440" w:lineRule="exact"/>
        <w:ind w:firstLine="480" w:firstLineChars="200"/>
        <w:rPr>
          <w:rFonts w:hint="eastAsia" w:ascii="微软雅黑" w:hAnsi="微软雅黑" w:eastAsia="微软雅黑" w:cs="微软雅黑"/>
          <w:color w:val="auto"/>
          <w:sz w:val="24"/>
          <w:szCs w:val="24"/>
          <w:highlight w:val="none"/>
        </w:rPr>
      </w:pPr>
      <w:bookmarkStart w:id="84" w:name="_Toc342913419"/>
      <w:bookmarkStart w:id="85" w:name="_Toc313888360"/>
      <w:bookmarkStart w:id="86" w:name="_Toc313008356"/>
      <w:bookmarkStart w:id="87" w:name="_Toc12789073"/>
      <w:bookmarkStart w:id="88" w:name="_Toc283382454"/>
      <w:r>
        <w:rPr>
          <w:rFonts w:hint="eastAsia" w:ascii="微软雅黑" w:hAnsi="微软雅黑" w:eastAsia="微软雅黑" w:cs="微软雅黑"/>
          <w:color w:val="auto"/>
          <w:sz w:val="24"/>
          <w:szCs w:val="24"/>
          <w:highlight w:val="none"/>
        </w:rPr>
        <w:t>（一）一般资格条件</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（四）其他应提供的资料</w:t>
      </w:r>
    </w:p>
    <w:p>
      <w:pPr>
        <w:spacing w:line="480" w:lineRule="exact"/>
        <w:ind w:firstLine="600" w:firstLineChars="2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代理机构基本情况表</w:t>
      </w: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3"/>
        <w:spacing w:line="480" w:lineRule="exact"/>
        <w:rPr>
          <w:rFonts w:hint="eastAsia" w:ascii="微软雅黑" w:hAnsi="微软雅黑" w:eastAsia="微软雅黑" w:cs="微软雅黑"/>
          <w:b w:val="0"/>
          <w:color w:val="auto"/>
          <w:sz w:val="24"/>
          <w:szCs w:val="24"/>
          <w:highlight w:val="none"/>
        </w:rPr>
      </w:pPr>
      <w:bookmarkStart w:id="89" w:name="_Toc294083526"/>
      <w:bookmarkStart w:id="90" w:name="_Toc6818910"/>
      <w:bookmarkStart w:id="91" w:name="_Toc333412485"/>
      <w:bookmarkStart w:id="92" w:name="_Toc350093071"/>
      <w:bookmarkStart w:id="93" w:name="_Toc23185485"/>
      <w:bookmarkStart w:id="94" w:name="_Toc377402559"/>
      <w:bookmarkStart w:id="95" w:name="_Toc49159317"/>
      <w:bookmarkStart w:id="96" w:name="_Toc16706"/>
      <w:bookmarkStart w:id="97" w:name="_Toc433792168"/>
      <w:bookmarkStart w:id="98" w:name="_Toc29985636"/>
      <w:bookmarkStart w:id="99" w:name="_Toc375666796"/>
      <w:bookmarkStart w:id="100" w:name="_Toc30668156"/>
      <w:bookmarkStart w:id="101" w:name="_Toc375841207"/>
      <w:bookmarkStart w:id="102" w:name="_Toc20656408"/>
      <w:bookmarkStart w:id="103" w:name="_Toc350435647"/>
      <w:bookmarkStart w:id="104" w:name="_Toc328052593"/>
      <w:bookmarkStart w:id="105" w:name="_Toc375840799"/>
      <w:bookmarkStart w:id="106" w:name="_Toc47955996"/>
      <w:bookmarkStart w:id="107" w:name="_Toc332630166"/>
      <w:bookmarkStart w:id="108" w:name="_Toc5201"/>
      <w:bookmarkStart w:id="109" w:name="_Toc21936037"/>
      <w:r>
        <w:rPr>
          <w:rFonts w:hint="eastAsia" w:ascii="微软雅黑" w:hAnsi="微软雅黑" w:eastAsia="微软雅黑" w:cs="微软雅黑"/>
          <w:b w:val="0"/>
          <w:color w:val="auto"/>
          <w:sz w:val="24"/>
          <w:szCs w:val="24"/>
          <w:highlight w:val="none"/>
        </w:rPr>
        <w:t>一</w:t>
      </w:r>
      <w:r>
        <w:rPr>
          <w:rFonts w:hint="eastAsia" w:ascii="微软雅黑" w:hAnsi="微软雅黑" w:eastAsia="微软雅黑" w:cs="微软雅黑"/>
          <w:color w:val="auto"/>
          <w:sz w:val="24"/>
          <w:szCs w:val="24"/>
          <w:highlight w:val="none"/>
        </w:rPr>
        <w:t>、响应文件封面</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rPr>
          <w:rFonts w:hint="eastAsia" w:ascii="微软雅黑" w:hAnsi="微软雅黑" w:eastAsia="微软雅黑" w:cs="微软雅黑"/>
          <w:color w:val="auto"/>
          <w:highlight w:val="none"/>
        </w:rPr>
      </w:pPr>
    </w:p>
    <w:p>
      <w:pPr>
        <w:tabs>
          <w:tab w:val="left" w:pos="3600"/>
          <w:tab w:val="left" w:pos="4480"/>
          <w:tab w:val="left" w:pos="5360"/>
        </w:tabs>
        <w:autoSpaceDE w:val="0"/>
        <w:autoSpaceDN w:val="0"/>
        <w:adjustRightInd w:val="0"/>
        <w:snapToGrid w:val="0"/>
        <w:spacing w:line="360" w:lineRule="auto"/>
        <w:jc w:val="left"/>
        <w:rPr>
          <w:rFonts w:hint="eastAsia" w:ascii="微软雅黑" w:hAnsi="微软雅黑" w:eastAsia="微软雅黑" w:cs="微软雅黑"/>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center"/>
        <w:rPr>
          <w:rFonts w:hint="eastAsia" w:ascii="微软雅黑" w:hAnsi="微软雅黑" w:eastAsia="微软雅黑" w:cs="微软雅黑"/>
          <w:b/>
          <w:color w:val="auto"/>
          <w:kern w:val="0"/>
          <w:sz w:val="84"/>
          <w:szCs w:val="84"/>
          <w:highlight w:val="none"/>
        </w:rPr>
      </w:pPr>
      <w:r>
        <w:rPr>
          <w:rFonts w:hint="eastAsia" w:ascii="微软雅黑" w:hAnsi="微软雅黑" w:eastAsia="微软雅黑" w:cs="微软雅黑"/>
          <w:b/>
          <w:color w:val="auto"/>
          <w:kern w:val="0"/>
          <w:sz w:val="84"/>
          <w:szCs w:val="84"/>
          <w:highlight w:val="none"/>
        </w:rPr>
        <w:t>比选响应文件</w:t>
      </w:r>
    </w:p>
    <w:p>
      <w:pPr>
        <w:autoSpaceDE w:val="0"/>
        <w:autoSpaceDN w:val="0"/>
        <w:adjustRightInd w:val="0"/>
        <w:snapToGrid w:val="0"/>
        <w:spacing w:line="360" w:lineRule="auto"/>
        <w:jc w:val="left"/>
        <w:rPr>
          <w:rFonts w:hint="eastAsia" w:ascii="微软雅黑" w:hAnsi="微软雅黑" w:eastAsia="微软雅黑" w:cs="微软雅黑"/>
          <w:color w:val="auto"/>
          <w:kern w:val="0"/>
          <w:sz w:val="16"/>
          <w:szCs w:val="16"/>
          <w:highlight w:val="none"/>
        </w:rPr>
      </w:pPr>
    </w:p>
    <w:p>
      <w:pPr>
        <w:tabs>
          <w:tab w:val="left" w:pos="6904"/>
        </w:tabs>
        <w:autoSpaceDE w:val="0"/>
        <w:autoSpaceDN w:val="0"/>
        <w:adjustRightInd w:val="0"/>
        <w:snapToGrid w:val="0"/>
        <w:spacing w:line="360" w:lineRule="auto"/>
        <w:ind w:firstLine="951" w:firstLineChars="343"/>
        <w:jc w:val="left"/>
        <w:rPr>
          <w:rFonts w:hint="eastAsia" w:ascii="微软雅黑" w:hAnsi="微软雅黑" w:eastAsia="微软雅黑" w:cs="微软雅黑"/>
          <w:b/>
          <w:color w:val="auto"/>
          <w:kern w:val="0"/>
          <w:szCs w:val="28"/>
          <w:highlight w:val="none"/>
        </w:rPr>
      </w:pPr>
      <w:r>
        <w:rPr>
          <w:rFonts w:hint="eastAsia" w:ascii="微软雅黑" w:hAnsi="微软雅黑" w:eastAsia="微软雅黑" w:cs="微软雅黑"/>
          <w:b/>
          <w:color w:val="auto"/>
          <w:w w:val="99"/>
          <w:kern w:val="0"/>
          <w:szCs w:val="28"/>
          <w:highlight w:val="none"/>
        </w:rPr>
        <w:t>项目名称：</w:t>
      </w: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kern w:val="0"/>
          <w:szCs w:val="28"/>
          <w:highlight w:val="none"/>
          <w:u w:val="single"/>
        </w:rPr>
        <w:t xml:space="preserve">               </w:t>
      </w:r>
    </w:p>
    <w:p>
      <w:pPr>
        <w:autoSpaceDE w:val="0"/>
        <w:autoSpaceDN w:val="0"/>
        <w:adjustRightInd w:val="0"/>
        <w:snapToGrid w:val="0"/>
        <w:spacing w:line="360" w:lineRule="auto"/>
        <w:jc w:val="left"/>
        <w:rPr>
          <w:rFonts w:hint="eastAsia" w:ascii="微软雅黑" w:hAnsi="微软雅黑" w:eastAsia="微软雅黑" w:cs="微软雅黑"/>
          <w:b/>
          <w:color w:val="auto"/>
          <w:kern w:val="0"/>
          <w:szCs w:val="28"/>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代理机构</w:t>
      </w:r>
      <w:r>
        <w:rPr>
          <w:rFonts w:hint="eastAsia" w:ascii="微软雅黑" w:hAnsi="微软雅黑" w:eastAsia="微软雅黑" w:cs="微软雅黑"/>
          <w:b/>
          <w:color w:val="auto"/>
          <w:spacing w:val="1"/>
          <w:w w:val="99"/>
          <w:kern w:val="0"/>
          <w:szCs w:val="28"/>
          <w:highlight w:val="none"/>
        </w:rPr>
        <w:t>：</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（公章）</w:t>
      </w:r>
    </w:p>
    <w:p>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法定代表人(或负责人)或其授权代表：</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（签字）</w:t>
      </w:r>
    </w:p>
    <w:p>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w w:val="99"/>
          <w:kern w:val="0"/>
          <w:szCs w:val="28"/>
          <w:highlight w:val="none"/>
        </w:rPr>
        <w:t>年</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月</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日</w:t>
      </w:r>
    </w:p>
    <w:p>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kern w:val="0"/>
          <w:szCs w:val="28"/>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3"/>
        <w:spacing w:line="360" w:lineRule="auto"/>
        <w:rPr>
          <w:rFonts w:hint="eastAsia" w:ascii="微软雅黑" w:hAnsi="微软雅黑" w:eastAsia="微软雅黑" w:cs="微软雅黑"/>
          <w:color w:val="auto"/>
          <w:sz w:val="24"/>
          <w:szCs w:val="24"/>
          <w:highlight w:val="none"/>
        </w:rPr>
      </w:pPr>
      <w:bookmarkStart w:id="110" w:name="_Toc18577"/>
      <w:r>
        <w:rPr>
          <w:rFonts w:hint="eastAsia" w:ascii="微软雅黑" w:hAnsi="微软雅黑" w:eastAsia="微软雅黑" w:cs="微软雅黑"/>
          <w:color w:val="auto"/>
          <w:sz w:val="24"/>
          <w:szCs w:val="24"/>
          <w:highlight w:val="none"/>
        </w:rPr>
        <w:t>二、经济部分</w:t>
      </w:r>
      <w:bookmarkEnd w:id="84"/>
      <w:bookmarkEnd w:id="85"/>
      <w:bookmarkEnd w:id="86"/>
      <w:bookmarkEnd w:id="110"/>
    </w:p>
    <w:bookmarkEnd w:id="87"/>
    <w:bookmarkEnd w:id="88"/>
    <w:p>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（一）竞争性比选报价函</w:t>
      </w:r>
    </w:p>
    <w:p>
      <w:pPr>
        <w:tabs>
          <w:tab w:val="left" w:pos="6300"/>
        </w:tabs>
        <w:snapToGrid w:val="0"/>
        <w:spacing w:line="480" w:lineRule="exact"/>
        <w:jc w:val="center"/>
        <w:rPr>
          <w:rFonts w:hint="eastAsia" w:ascii="微软雅黑" w:hAnsi="微软雅黑" w:eastAsia="微软雅黑" w:cs="微软雅黑"/>
          <w:b/>
          <w:color w:val="auto"/>
          <w:szCs w:val="28"/>
          <w:highlight w:val="none"/>
        </w:rPr>
      </w:pPr>
      <w:r>
        <w:rPr>
          <w:rFonts w:hint="eastAsia" w:ascii="微软雅黑" w:hAnsi="微软雅黑" w:eastAsia="微软雅黑" w:cs="微软雅黑"/>
          <w:b/>
          <w:color w:val="auto"/>
          <w:szCs w:val="28"/>
          <w:highlight w:val="none"/>
        </w:rPr>
        <w:t>竞争性比选报价函</w:t>
      </w:r>
    </w:p>
    <w:p>
      <w:pPr>
        <w:tabs>
          <w:tab w:val="left" w:pos="6300"/>
        </w:tabs>
        <w:snapToGrid w:val="0"/>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（采购人名称）</w:t>
      </w:r>
      <w:r>
        <w:rPr>
          <w:rFonts w:hint="eastAsia" w:ascii="微软雅黑" w:hAnsi="微软雅黑" w:eastAsia="微软雅黑" w:cs="微软雅黑"/>
          <w:color w:val="auto"/>
          <w:sz w:val="24"/>
          <w:szCs w:val="24"/>
          <w:highlight w:val="none"/>
        </w:rPr>
        <w:t>：</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我方收到____________________________（项目名称）的竞争性比选文件，经详细研究，决定参加该项目的比选。</w:t>
      </w:r>
    </w:p>
    <w:p>
      <w:pPr>
        <w:tabs>
          <w:tab w:val="left" w:pos="6300"/>
        </w:tabs>
        <w:snapToGrid w:val="0"/>
        <w:spacing w:line="400" w:lineRule="exact"/>
        <w:ind w:firstLine="480" w:firstLineChars="200"/>
        <w:jc w:val="left"/>
        <w:rPr>
          <w:rFonts w:hint="eastAsia" w:ascii="方正仿宋_GBK" w:hAnsi="方正仿宋_GBK" w:eastAsia="微软雅黑" w:cs="方正仿宋_GBK"/>
          <w:b/>
          <w:bCs/>
          <w:color w:val="auto"/>
          <w:sz w:val="24"/>
          <w:szCs w:val="24"/>
          <w:highlight w:val="none"/>
        </w:rPr>
      </w:pPr>
      <w:r>
        <w:rPr>
          <w:rFonts w:hint="eastAsia" w:ascii="微软雅黑" w:hAnsi="微软雅黑" w:eastAsia="微软雅黑" w:cs="微软雅黑"/>
          <w:color w:val="auto"/>
          <w:sz w:val="24"/>
          <w:szCs w:val="24"/>
          <w:highlight w:val="none"/>
        </w:rPr>
        <w:t>1、愿意按照竞争性比选文件中的一切要求，提供本项目的技术服务，报价为招标代理服务费</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%的折扣。</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2、我方现提交的比选响应文件为：比选响应文件正本</w:t>
      </w:r>
      <w:r>
        <w:rPr>
          <w:rFonts w:hint="eastAsia" w:ascii="微软雅黑" w:hAnsi="微软雅黑" w:eastAsia="微软雅黑" w:cs="微软雅黑"/>
          <w:color w:val="auto"/>
          <w:sz w:val="24"/>
          <w:szCs w:val="24"/>
          <w:highlight w:val="none"/>
          <w:u w:val="single"/>
        </w:rPr>
        <w:t xml:space="preserve"> 1 </w:t>
      </w:r>
      <w:r>
        <w:rPr>
          <w:rFonts w:hint="eastAsia" w:ascii="微软雅黑" w:hAnsi="微软雅黑" w:eastAsia="微软雅黑" w:cs="微软雅黑"/>
          <w:color w:val="auto"/>
          <w:sz w:val="24"/>
          <w:szCs w:val="24"/>
          <w:highlight w:val="none"/>
        </w:rPr>
        <w:t>份，副本</w:t>
      </w:r>
      <w:r>
        <w:rPr>
          <w:rFonts w:hint="eastAsia" w:ascii="微软雅黑" w:hAnsi="微软雅黑" w:eastAsia="微软雅黑" w:cs="微软雅黑"/>
          <w:color w:val="auto"/>
          <w:sz w:val="24"/>
          <w:szCs w:val="24"/>
          <w:highlight w:val="none"/>
          <w:u w:val="single"/>
        </w:rPr>
        <w:t xml:space="preserve"> 2 </w:t>
      </w:r>
      <w:r>
        <w:rPr>
          <w:rFonts w:hint="eastAsia" w:ascii="微软雅黑" w:hAnsi="微软雅黑" w:eastAsia="微软雅黑" w:cs="微软雅黑"/>
          <w:color w:val="auto"/>
          <w:sz w:val="24"/>
          <w:szCs w:val="24"/>
          <w:highlight w:val="none"/>
        </w:rPr>
        <w:t>份</w:t>
      </w:r>
      <w:r>
        <w:rPr>
          <w:rFonts w:hint="eastAsia" w:ascii="宋体" w:hAnsi="宋体" w:cs="宋体"/>
          <w:color w:val="auto"/>
          <w:sz w:val="24"/>
          <w:szCs w:val="24"/>
          <w:highlight w:val="none"/>
        </w:rPr>
        <w:t>，</w:t>
      </w:r>
      <w:r>
        <w:rPr>
          <w:rFonts w:hint="eastAsia" w:ascii="微软雅黑" w:hAnsi="微软雅黑" w:eastAsia="微软雅黑" w:cs="微软雅黑"/>
          <w:color w:val="auto"/>
          <w:sz w:val="24"/>
          <w:szCs w:val="24"/>
          <w:highlight w:val="none"/>
        </w:rPr>
        <w:t>电子文档1</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份。</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3、我方承诺：本次比选的有效期为提交比选响应文件截止时间起90天。</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4、我方完全理解和接受贵方竞争性比选文件的一切规定和要求及评审办法。</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5、在整个竞争性比选过程中，我方若有违规行为，接受按照《中华人民共和国政府采购法》及其实施条例等规定给予惩罚。</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6、我方若成为成交代理机构，将按照最终比选结果签订合同，并且严格履行合同义务。本承诺函将成为合同不可分割的一部分，与合同具有同等的法律效力。</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7、我方理解，最低报价不是成交的唯一条件</w:t>
      </w:r>
      <w:r>
        <w:rPr>
          <w:rFonts w:hint="eastAsia" w:ascii="微软雅黑" w:hAnsi="微软雅黑" w:eastAsia="微软雅黑" w:cs="微软雅黑"/>
          <w:color w:val="auto"/>
          <w:sz w:val="24"/>
          <w:szCs w:val="28"/>
          <w:highlight w:val="none"/>
        </w:rPr>
        <w:t>。</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8、</w:t>
      </w:r>
      <w:r>
        <w:rPr>
          <w:rFonts w:hint="eastAsia" w:ascii="微软雅黑" w:hAnsi="微软雅黑" w:eastAsia="微软雅黑" w:cs="微软雅黑"/>
          <w:color w:val="auto"/>
          <w:sz w:val="24"/>
          <w:szCs w:val="28"/>
          <w:highlight w:val="none"/>
        </w:rPr>
        <w:t>我方未</w:t>
      </w:r>
      <w:r>
        <w:rPr>
          <w:rFonts w:hint="eastAsia" w:ascii="微软雅黑" w:hAnsi="微软雅黑" w:eastAsia="微软雅黑" w:cs="微软雅黑"/>
          <w:color w:val="auto"/>
          <w:sz w:val="24"/>
          <w:szCs w:val="24"/>
          <w:highlight w:val="none"/>
        </w:rPr>
        <w:t>为采购项目提供整体设计、规范编制或者项目管理、监理、检测等服务。</w:t>
      </w:r>
    </w:p>
    <w:p>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9、我方不存在单位负责人为同一人或者存在直接控股、管理关系的不同代理机构，参加同一合同项下的采购活动的情况。</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代理机构（公章）签署：</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地址：  </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电话：                                             传真：</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网址：                                             邮编：</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联系人：</w:t>
      </w:r>
    </w:p>
    <w:p>
      <w:pPr>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w:t>
      </w:r>
    </w:p>
    <w:p>
      <w:pPr>
        <w:pStyle w:val="4"/>
        <w:rPr>
          <w:rFonts w:hint="eastAsia" w:ascii="微软雅黑" w:hAnsi="微软雅黑" w:eastAsia="微软雅黑" w:cs="微软雅黑"/>
          <w:color w:val="auto"/>
          <w:sz w:val="24"/>
          <w:szCs w:val="24"/>
          <w:highlight w:val="none"/>
        </w:rPr>
      </w:pPr>
    </w:p>
    <w:p>
      <w:pPr>
        <w:pStyle w:val="4"/>
        <w:rPr>
          <w:color w:val="auto"/>
          <w:highlight w:val="none"/>
        </w:rPr>
        <w:sectPr>
          <w:headerReference r:id="rId10" w:type="default"/>
          <w:footerReference r:id="rId11" w:type="default"/>
          <w:pgSz w:w="11907" w:h="16840"/>
          <w:pgMar w:top="1134" w:right="1191" w:bottom="1134" w:left="1304" w:header="851" w:footer="992" w:gutter="0"/>
          <w:pgNumType w:fmt="numberInDash"/>
          <w:cols w:space="720" w:num="1"/>
          <w:docGrid w:linePitch="380" w:charSpace="-5735"/>
        </w:sectPr>
      </w:pPr>
    </w:p>
    <w:p>
      <w:pPr>
        <w:pStyle w:val="3"/>
        <w:spacing w:line="360" w:lineRule="auto"/>
        <w:rPr>
          <w:rFonts w:hint="eastAsia" w:ascii="微软雅黑" w:hAnsi="微软雅黑" w:eastAsia="微软雅黑" w:cs="微软雅黑"/>
          <w:color w:val="auto"/>
          <w:sz w:val="24"/>
          <w:szCs w:val="24"/>
          <w:highlight w:val="none"/>
        </w:rPr>
      </w:pPr>
      <w:bookmarkStart w:id="111" w:name="_Toc342913420"/>
      <w:bookmarkStart w:id="112" w:name="_Toc313008357"/>
      <w:bookmarkStart w:id="113" w:name="_Toc30062"/>
      <w:bookmarkStart w:id="114" w:name="_Toc313888361"/>
      <w:r>
        <w:rPr>
          <w:rFonts w:hint="eastAsia" w:ascii="微软雅黑" w:hAnsi="微软雅黑" w:eastAsia="微软雅黑" w:cs="微软雅黑"/>
          <w:color w:val="auto"/>
          <w:sz w:val="24"/>
          <w:szCs w:val="24"/>
          <w:highlight w:val="none"/>
        </w:rPr>
        <w:t>三、服务部分</w:t>
      </w:r>
      <w:bookmarkEnd w:id="111"/>
      <w:bookmarkEnd w:id="112"/>
      <w:bookmarkEnd w:id="113"/>
      <w:bookmarkEnd w:id="114"/>
    </w:p>
    <w:p>
      <w:pPr>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pPr>
              <w:spacing w:line="50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序号</w:t>
            </w: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采购需求</w:t>
            </w: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响应情况</w:t>
            </w: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bl>
    <w:p>
      <w:pPr>
        <w:spacing w:line="500" w:lineRule="exact"/>
        <w:ind w:firstLine="600" w:firstLineChars="25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代理机构：                          法定代表人（或负责人）或其授权代表：</w:t>
      </w:r>
    </w:p>
    <w:p>
      <w:pPr>
        <w:spacing w:line="500" w:lineRule="exact"/>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 xml:space="preserve">    （代理机构公章）                            （签署或盖章）</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 xml:space="preserve">                                          年     月     日</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bookmarkStart w:id="115" w:name="_Toc313008358"/>
      <w:bookmarkStart w:id="116" w:name="_Toc342913421"/>
      <w:bookmarkStart w:id="117" w:name="_Toc313888362"/>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1.本表即为对本项目“第二篇 项目服务需求”中所列全部内容进行比较和响应；</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2.该表必须按照竞争性比选要求逐条如实填写，根据响应情况在“差异说明”项填写正偏离或负偏离及原因，完全符合的填写“无差异”；</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3.该表可扩展，并逐页签字或盖章；</w:t>
      </w:r>
    </w:p>
    <w:p>
      <w:pPr>
        <w:pStyle w:val="11"/>
        <w:rPr>
          <w:color w:val="auto"/>
          <w:highlight w:val="none"/>
        </w:rPr>
      </w:pPr>
    </w:p>
    <w:p>
      <w:pPr>
        <w:rPr>
          <w:color w:val="auto"/>
          <w:highlight w:val="none"/>
        </w:rPr>
      </w:pPr>
    </w:p>
    <w:p>
      <w:pPr>
        <w:rPr>
          <w:color w:val="auto"/>
          <w:highlight w:val="none"/>
        </w:rPr>
      </w:pPr>
    </w:p>
    <w:bookmarkEnd w:id="115"/>
    <w:bookmarkEnd w:id="116"/>
    <w:bookmarkEnd w:id="117"/>
    <w:p>
      <w:pPr>
        <w:pStyle w:val="3"/>
        <w:spacing w:line="360" w:lineRule="auto"/>
        <w:rPr>
          <w:rFonts w:hint="eastAsia" w:ascii="微软雅黑" w:hAnsi="微软雅黑" w:eastAsia="微软雅黑" w:cs="微软雅黑"/>
          <w:color w:val="auto"/>
          <w:highlight w:val="none"/>
        </w:rPr>
      </w:pPr>
      <w:bookmarkStart w:id="118" w:name="_Toc313008359"/>
      <w:bookmarkStart w:id="119" w:name="_Toc342913422"/>
      <w:bookmarkStart w:id="120" w:name="_Toc15402"/>
      <w:bookmarkStart w:id="121" w:name="_Toc313888363"/>
      <w:r>
        <w:rPr>
          <w:rFonts w:hint="eastAsia" w:ascii="微软雅黑" w:hAnsi="微软雅黑" w:eastAsia="微软雅黑" w:cs="微软雅黑"/>
          <w:color w:val="auto"/>
          <w:sz w:val="24"/>
          <w:szCs w:val="24"/>
          <w:highlight w:val="none"/>
        </w:rPr>
        <w:t>四、资格条件及其他</w:t>
      </w:r>
      <w:bookmarkEnd w:id="118"/>
      <w:bookmarkEnd w:id="119"/>
      <w:bookmarkEnd w:id="120"/>
      <w:bookmarkEnd w:id="121"/>
    </w:p>
    <w:p>
      <w:pPr>
        <w:widowControl/>
        <w:ind w:firstLine="560" w:firstLineChars="200"/>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Cs w:val="28"/>
          <w:highlight w:val="none"/>
        </w:rPr>
        <w:t>（一）一般资格条件</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1、法人营业执照（副本）复印件</w:t>
      </w:r>
      <w:r>
        <w:rPr>
          <w:rFonts w:hint="eastAsia" w:ascii="微软雅黑" w:hAnsi="微软雅黑" w:eastAsia="微软雅黑" w:cs="微软雅黑"/>
          <w:color w:val="auto"/>
          <w:kern w:val="0"/>
          <w:sz w:val="24"/>
          <w:szCs w:val="24"/>
          <w:highlight w:val="none"/>
        </w:rPr>
        <w:t>。</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注：分支机构参与投标的，应提供授权委托。</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highlight w:val="none"/>
        </w:rPr>
      </w:pPr>
    </w:p>
    <w:p>
      <w:pPr>
        <w:widowControl/>
        <w:rPr>
          <w:rFonts w:hint="eastAsia" w:ascii="微软雅黑" w:hAnsi="微软雅黑" w:eastAsia="微软雅黑" w:cs="微软雅黑"/>
          <w:color w:val="auto"/>
          <w:highlight w:val="none"/>
        </w:rPr>
      </w:pPr>
    </w:p>
    <w:p>
      <w:pPr>
        <w:widowControl/>
        <w:ind w:firstLine="56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Cs w:val="28"/>
          <w:highlight w:val="none"/>
        </w:rPr>
        <w:br w:type="page"/>
      </w:r>
      <w:r>
        <w:rPr>
          <w:rFonts w:hint="eastAsia" w:ascii="微软雅黑" w:hAnsi="微软雅黑" w:eastAsia="微软雅黑" w:cs="微软雅黑"/>
          <w:color w:val="auto"/>
          <w:szCs w:val="28"/>
          <w:highlight w:val="none"/>
        </w:rPr>
        <w:t>2、法定代表人身份证明书（格式）</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项目名称：</w:t>
      </w:r>
      <w:r>
        <w:rPr>
          <w:rFonts w:hint="eastAsia" w:ascii="微软雅黑" w:hAnsi="微软雅黑" w:eastAsia="微软雅黑" w:cs="微软雅黑"/>
          <w:color w:val="auto"/>
          <w:sz w:val="24"/>
          <w:szCs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（法定代表人（或负责人）姓名）在</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（代理机构名称）任</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（职务名称）职务，是（代理机构名称）</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的法定代表人（或负责人）。</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特此证明。</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（代理机构公章）</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日</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（附：法定代表人（或负责人）身份证正反面复印件）</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jc w:val="center"/>
        <w:rPr>
          <w:rFonts w:hint="eastAsia" w:ascii="宋体" w:hAnsi="宋体"/>
          <w:color w:val="auto"/>
          <w:highlight w:val="none"/>
        </w:rPr>
      </w:pPr>
      <w:r>
        <w:rPr>
          <w:rFonts w:hint="eastAsia" w:ascii="微软雅黑" w:hAnsi="微软雅黑" w:eastAsia="微软雅黑" w:cs="微软雅黑"/>
          <w:color w:val="auto"/>
          <w:highlight w:val="none"/>
        </w:rPr>
        <w:br w:type="column"/>
      </w:r>
      <w:r>
        <w:rPr>
          <w:rFonts w:hint="eastAsia" w:ascii="微软雅黑" w:hAnsi="微软雅黑" w:eastAsia="微软雅黑" w:cs="微软雅黑"/>
          <w:color w:val="auto"/>
          <w:highlight w:val="none"/>
        </w:rPr>
        <w:t>3、法定代表人授权委托书（格式）</w:t>
      </w:r>
    </w:p>
    <w:p>
      <w:pPr>
        <w:tabs>
          <w:tab w:val="left" w:pos="6300"/>
        </w:tabs>
        <w:snapToGrid w:val="0"/>
        <w:spacing w:line="500" w:lineRule="exact"/>
        <w:ind w:firstLine="570"/>
        <w:rPr>
          <w:rFonts w:hint="eastAsia" w:ascii="宋体" w:hAnsi="宋体"/>
          <w:color w:val="auto"/>
          <w:sz w:val="24"/>
          <w:highlight w:val="none"/>
        </w:rPr>
      </w:pPr>
      <w:r>
        <w:rPr>
          <w:rFonts w:hint="eastAsia" w:ascii="宋体" w:hAnsi="宋体"/>
          <w:color w:val="auto"/>
          <w:sz w:val="24"/>
          <w:highlight w:val="none"/>
        </w:rPr>
        <w:t xml:space="preserve">    </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项目名称</w:t>
      </w:r>
      <w:r>
        <w:rPr>
          <w:rFonts w:hint="eastAsia" w:ascii="微软雅黑" w:hAnsi="微软雅黑" w:eastAsia="微软雅黑" w:cs="微软雅黑"/>
          <w:color w:val="auto"/>
          <w:sz w:val="24"/>
          <w:highlight w:val="none"/>
        </w:rPr>
        <w:t>：</w:t>
      </w:r>
      <w:r>
        <w:rPr>
          <w:rFonts w:hint="eastAsia" w:ascii="微软雅黑" w:hAnsi="微软雅黑" w:eastAsia="微软雅黑" w:cs="微软雅黑"/>
          <w:color w:val="auto"/>
          <w:sz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致：</w:t>
      </w:r>
      <w:r>
        <w:rPr>
          <w:rFonts w:hint="eastAsia" w:ascii="微软雅黑" w:hAnsi="微软雅黑" w:eastAsia="微软雅黑" w:cs="微软雅黑"/>
          <w:color w:val="auto"/>
          <w:sz w:val="24"/>
          <w:highlight w:val="none"/>
          <w:u w:val="single"/>
        </w:rPr>
        <w:t xml:space="preserve">                     </w:t>
      </w:r>
      <w:r>
        <w:rPr>
          <w:rFonts w:hint="eastAsia" w:ascii="微软雅黑" w:hAnsi="微软雅黑" w:eastAsia="微软雅黑" w:cs="微软雅黑"/>
          <w:color w:val="auto"/>
          <w:sz w:val="24"/>
          <w:highlight w:val="none"/>
        </w:rPr>
        <w:t>（采购人名称）：</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_________（代理机构法定代表人（或负责人）姓名）特授权_________（被授权人姓名及身份证代码）代表我单位全权办理对上述项目的谈判、签约等具体工作，并签署全部有关的文件、协议及合同。</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我单位对被授权人的签字负全部责任。</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在撤消授权的书面通知以前，本授权书一直有效。被授权人签署的所有文件（在授权书有效期内签署的）不因授权的撤消而失效。</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被授权人：                                 代理机构法定代表人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w:t>
      </w:r>
    </w:p>
    <w:p>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（签署或盖章）                                （签署或盖章）</w:t>
      </w:r>
    </w:p>
    <w:p>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（附：被授权人身份证正反面复印件）</w:t>
      </w:r>
    </w:p>
    <w:p>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 xml:space="preserve">    （代理机构公章）</w:t>
      </w:r>
    </w:p>
    <w:p>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年   月   日</w:t>
      </w:r>
    </w:p>
    <w:p>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p>
    <w:p>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pPr>
        <w:tabs>
          <w:tab w:val="left" w:pos="6300"/>
        </w:tabs>
        <w:snapToGrid w:val="0"/>
        <w:spacing w:line="500" w:lineRule="exact"/>
        <w:ind w:right="480"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1.若为法定代表人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办理并签署比选响应文件的，不提供此文件。</w:t>
      </w: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highlight w:val="none"/>
        </w:rPr>
        <w:br w:type="column"/>
      </w:r>
      <w:r>
        <w:rPr>
          <w:rFonts w:hint="eastAsia" w:ascii="微软雅黑" w:hAnsi="微软雅黑" w:eastAsia="微软雅黑" w:cs="微软雅黑"/>
          <w:color w:val="auto"/>
          <w:highlight w:val="none"/>
        </w:rPr>
        <w:t xml:space="preserve"> 4、基本资格条件承诺函</w:t>
      </w:r>
    </w:p>
    <w:p>
      <w:pPr>
        <w:tabs>
          <w:tab w:val="left" w:pos="6300"/>
        </w:tabs>
        <w:snapToGrid w:val="0"/>
        <w:ind w:firstLine="480" w:firstLineChars="200"/>
        <w:rPr>
          <w:rFonts w:hint="eastAsia" w:ascii="微软雅黑" w:hAnsi="微软雅黑" w:eastAsia="微软雅黑" w:cs="微软雅黑"/>
          <w:color w:val="auto"/>
          <w:sz w:val="24"/>
          <w:szCs w:val="24"/>
          <w:highlight w:val="none"/>
        </w:rPr>
      </w:pPr>
    </w:p>
    <w:p>
      <w:pPr>
        <w:tabs>
          <w:tab w:val="left" w:pos="6300"/>
        </w:tabs>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r>
        <w:rPr>
          <w:rFonts w:hint="eastAsia" w:ascii="微软雅黑" w:hAnsi="微软雅黑" w:eastAsia="微软雅黑" w:cs="微软雅黑"/>
          <w:color w:val="auto"/>
          <w:sz w:val="24"/>
          <w:szCs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（代理机构名称）郑重承诺：</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1.我方具有良好的商业信誉和健全的财务会计制度，具有履行合同所必需的设备和专业技术能力，具</w:t>
      </w:r>
      <w:r>
        <w:rPr>
          <w:rFonts w:hint="eastAsia" w:ascii="微软雅黑" w:hAnsi="微软雅黑" w:eastAsia="微软雅黑" w:cs="微软雅黑"/>
          <w:color w:val="auto"/>
          <w:sz w:val="24"/>
          <w:highlight w:val="none"/>
          <w:lang w:val="zh-CN"/>
        </w:rPr>
        <w:t>有依法缴纳税收和社会保障金的良好记录</w:t>
      </w:r>
      <w:r>
        <w:rPr>
          <w:rFonts w:hint="eastAsia" w:ascii="微软雅黑" w:hAnsi="微软雅黑" w:eastAsia="微软雅黑" w:cs="微软雅黑"/>
          <w:color w:val="auto"/>
          <w:sz w:val="24"/>
          <w:highlight w:val="none"/>
        </w:rPr>
        <w:t>，参加本项目采购活动前三年内无重大违法活动记录。</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3.我方在采购项目评审（评标）环节结束后，随时接受采购人的检查验证，配合提供相关证明材料，证明符合《中华人民共和国政府采购法》规定的投标人基本资格条件。</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我方对以上承诺负全部法律责任。</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特此承诺。</w:t>
      </w:r>
    </w:p>
    <w:p>
      <w:pPr>
        <w:tabs>
          <w:tab w:val="left" w:pos="6300"/>
        </w:tabs>
        <w:snapToGrid w:val="0"/>
        <w:ind w:firstLine="480" w:firstLineChars="200"/>
        <w:rPr>
          <w:rFonts w:hint="eastAsia" w:ascii="微软雅黑" w:hAnsi="微软雅黑" w:eastAsia="微软雅黑" w:cs="微软雅黑"/>
          <w:color w:val="auto"/>
          <w:sz w:val="24"/>
          <w:szCs w:val="24"/>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right="480" w:firstLine="57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（代理机构公章）</w:t>
      </w:r>
    </w:p>
    <w:p>
      <w:pPr>
        <w:tabs>
          <w:tab w:val="left" w:pos="6300"/>
        </w:tabs>
        <w:snapToGrid w:val="0"/>
        <w:spacing w:line="500" w:lineRule="exact"/>
        <w:ind w:right="480" w:firstLine="6480" w:firstLineChars="2700"/>
        <w:rPr>
          <w:rFonts w:hint="eastAsia" w:ascii="微软雅黑" w:hAnsi="微软雅黑" w:eastAsia="微软雅黑" w:cs="微软雅黑"/>
          <w:color w:val="auto"/>
          <w:highlight w:val="none"/>
        </w:rPr>
      </w:pPr>
      <w:r>
        <w:rPr>
          <w:rFonts w:hint="eastAsia" w:ascii="微软雅黑" w:hAnsi="微软雅黑" w:eastAsia="微软雅黑" w:cs="微软雅黑"/>
          <w:color w:val="auto"/>
          <w:sz w:val="24"/>
          <w:szCs w:val="24"/>
          <w:highlight w:val="none"/>
        </w:rPr>
        <w:t>年   月   日</w:t>
      </w:r>
    </w:p>
    <w:p>
      <w:pPr>
        <w:rPr>
          <w:rFonts w:hint="eastAsia" w:ascii="微软雅黑" w:hAnsi="微软雅黑" w:eastAsia="微软雅黑" w:cs="微软雅黑"/>
          <w:color w:val="auto"/>
          <w:highlight w:val="none"/>
        </w:rPr>
      </w:pPr>
    </w:p>
    <w:p>
      <w:pPr>
        <w:tabs>
          <w:tab w:val="left" w:pos="6300"/>
        </w:tabs>
        <w:snapToGrid w:val="0"/>
        <w:spacing w:line="50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highlight w:val="none"/>
        </w:rPr>
        <w:br w:type="page"/>
      </w:r>
      <w:r>
        <w:rPr>
          <w:rFonts w:hint="eastAsia" w:ascii="微软雅黑" w:hAnsi="微软雅黑" w:eastAsia="微软雅黑" w:cs="微软雅黑"/>
          <w:color w:val="auto"/>
          <w:sz w:val="24"/>
          <w:szCs w:val="24"/>
          <w:highlight w:val="none"/>
        </w:rPr>
        <w:t>（二）特定资格条件</w:t>
      </w:r>
    </w:p>
    <w:p>
      <w:pPr>
        <w:tabs>
          <w:tab w:val="left" w:pos="6300"/>
        </w:tabs>
        <w:snapToGrid w:val="0"/>
        <w:spacing w:line="500" w:lineRule="exact"/>
        <w:outlineLvl w:val="0"/>
        <w:rPr>
          <w:rFonts w:hint="eastAsia" w:ascii="微软雅黑" w:hAnsi="微软雅黑" w:eastAsia="微软雅黑" w:cs="微软雅黑"/>
          <w:color w:val="auto"/>
          <w:sz w:val="24"/>
          <w:szCs w:val="24"/>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（三）评审因素需提供的资料（自附）</w:t>
      </w: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（四）其他应提供的资料（自附） </w:t>
      </w:r>
    </w:p>
    <w:p>
      <w:pPr>
        <w:spacing w:line="48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  </w:t>
      </w:r>
    </w:p>
    <w:p>
      <w:pPr>
        <w:spacing w:line="480" w:lineRule="exact"/>
        <w:rPr>
          <w:rFonts w:hint="eastAsia" w:ascii="微软雅黑" w:hAnsi="微软雅黑" w:eastAsia="微软雅黑" w:cs="微软雅黑"/>
          <w:color w:val="auto"/>
          <w:sz w:val="24"/>
          <w:szCs w:val="24"/>
          <w:highlight w:val="none"/>
        </w:rPr>
      </w:pPr>
      <w:bookmarkStart w:id="122" w:name="_Toc531873561"/>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pStyle w:val="4"/>
        <w:rPr>
          <w:color w:val="auto"/>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代理机构基本情况表</w:t>
      </w:r>
      <w:bookmarkEnd w:id="122"/>
    </w:p>
    <w:p>
      <w:pPr>
        <w:autoSpaceDE w:val="0"/>
        <w:autoSpaceDN w:val="0"/>
        <w:adjustRightInd w:val="0"/>
        <w:spacing w:line="400" w:lineRule="exact"/>
        <w:rPr>
          <w:rFonts w:hint="eastAsia" w:ascii="微软雅黑" w:hAnsi="微软雅黑" w:eastAsia="微软雅黑" w:cs="微软雅黑"/>
          <w:b/>
          <w:bCs/>
          <w:color w:val="auto"/>
          <w:szCs w:val="18"/>
          <w:highlight w:val="none"/>
          <w:lang w:val="zh-CN"/>
        </w:rPr>
      </w:pPr>
    </w:p>
    <w:tbl>
      <w:tblPr>
        <w:tblStyle w:val="14"/>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134"/>
        <w:gridCol w:w="2052"/>
        <w:gridCol w:w="1204"/>
        <w:gridCol w:w="2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代理机构名称</w:t>
            </w:r>
          </w:p>
        </w:tc>
        <w:tc>
          <w:tcPr>
            <w:tcW w:w="6697" w:type="dxa"/>
            <w:gridSpan w:val="4"/>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注册地址</w:t>
            </w:r>
          </w:p>
        </w:tc>
        <w:tc>
          <w:tcPr>
            <w:tcW w:w="3186" w:type="dxa"/>
            <w:gridSpan w:val="2"/>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邮政编码</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restart"/>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联系方式</w:t>
            </w: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联系人</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continue"/>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传真</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网址</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rPr>
            </w:pPr>
            <w:r>
              <w:rPr>
                <w:rFonts w:hint="eastAsia" w:ascii="微软雅黑" w:hAnsi="微软雅黑" w:eastAsia="微软雅黑" w:cs="微软雅黑"/>
                <w:bCs/>
                <w:color w:val="auto"/>
                <w:sz w:val="24"/>
                <w:highlight w:val="none"/>
                <w:lang w:val="zh-CN"/>
              </w:rPr>
              <w:t>法定代表人</w:t>
            </w:r>
            <w:r>
              <w:rPr>
                <w:rFonts w:hint="eastAsia" w:ascii="微软雅黑" w:hAnsi="微软雅黑" w:eastAsia="微软雅黑" w:cs="微软雅黑"/>
                <w:bCs/>
                <w:color w:val="auto"/>
                <w:sz w:val="24"/>
                <w:highlight w:val="none"/>
              </w:rPr>
              <w:t>或负责人</w:t>
            </w: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姓名</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ind w:firstLine="240" w:firstLineChars="100"/>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成立时间</w:t>
            </w:r>
          </w:p>
        </w:tc>
        <w:tc>
          <w:tcPr>
            <w:tcW w:w="6697" w:type="dxa"/>
            <w:gridSpan w:val="4"/>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资质等级（若有）</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营业执照号</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注册资金</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开户银行</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账   号</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经营范围</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备    注</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bl>
    <w:p>
      <w:pPr>
        <w:pStyle w:val="20"/>
        <w:tabs>
          <w:tab w:val="left" w:pos="3023"/>
        </w:tabs>
        <w:jc w:val="both"/>
        <w:rPr>
          <w:rFonts w:hint="eastAsia" w:ascii="宋体" w:hAnsi="宋体" w:eastAsia="宋体" w:cs="宋体"/>
          <w:color w:val="auto"/>
          <w:sz w:val="36"/>
          <w:szCs w:val="36"/>
          <w:highlight w:val="none"/>
        </w:rPr>
      </w:pPr>
      <w:bookmarkStart w:id="123" w:name="_Toc28902"/>
      <w:bookmarkStart w:id="124" w:name="_Toc25408"/>
      <w:bookmarkStart w:id="125" w:name="_Toc481430160"/>
      <w:bookmarkStart w:id="126" w:name="_Toc8480"/>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bookmarkEnd w:id="123"/>
    <w:bookmarkEnd w:id="124"/>
    <w:bookmarkEnd w:id="125"/>
    <w:bookmarkEnd w:id="126"/>
    <w:p>
      <w:pPr>
        <w:spacing w:line="480" w:lineRule="exact"/>
        <w:rPr>
          <w:rFonts w:hint="eastAsia" w:ascii="微软雅黑" w:hAnsi="微软雅黑" w:eastAsia="微软雅黑" w:cs="微软雅黑"/>
          <w:color w:val="auto"/>
          <w:sz w:val="21"/>
          <w:szCs w:val="21"/>
          <w:highlight w:val="none"/>
        </w:rPr>
      </w:pPr>
    </w:p>
    <w:p>
      <w:pPr>
        <w:spacing w:line="480" w:lineRule="exact"/>
        <w:ind w:firstLine="420" w:firstLineChars="200"/>
        <w:jc w:val="center"/>
        <w:rPr>
          <w:rFonts w:hint="eastAsia" w:ascii="微软雅黑" w:hAnsi="微软雅黑" w:eastAsia="微软雅黑" w:cs="微软雅黑"/>
          <w:color w:val="auto"/>
          <w:sz w:val="21"/>
          <w:szCs w:val="21"/>
          <w:highlight w:val="none"/>
        </w:rPr>
      </w:pPr>
    </w:p>
    <w:p>
      <w:pPr>
        <w:spacing w:line="480" w:lineRule="exact"/>
        <w:ind w:firstLine="420" w:firstLineChars="200"/>
        <w:jc w:val="center"/>
        <w:rPr>
          <w:rFonts w:hint="eastAsia" w:ascii="微软雅黑" w:hAnsi="微软雅黑" w:eastAsia="微软雅黑" w:cs="微软雅黑"/>
          <w:color w:val="auto"/>
          <w:sz w:val="21"/>
          <w:szCs w:val="21"/>
          <w:highlight w:val="none"/>
        </w:rPr>
      </w:pPr>
    </w:p>
    <w:p>
      <w:pPr>
        <w:spacing w:line="480" w:lineRule="exact"/>
        <w:ind w:firstLine="48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（结束）</w:t>
      </w:r>
    </w:p>
    <w:p>
      <w:pPr>
        <w:rPr>
          <w:rFonts w:hint="eastAsia"/>
          <w:color w:val="auto"/>
          <w:highlight w:val="none"/>
        </w:rPr>
      </w:pPr>
    </w:p>
    <w:sectPr>
      <w:headerReference r:id="rId12"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jc w:val="center"/>
      <w:rPr>
        <w:rStyle w:val="17"/>
        <w:rFonts w:ascii="宋体"/>
        <w:szCs w:val="18"/>
      </w:rPr>
    </w:pPr>
    <w:r>
      <w:rPr>
        <w:rFonts w:ascii="宋体"/>
        <w:szCs w:val="18"/>
      </w:rPr>
      <w:fldChar w:fldCharType="begin"/>
    </w:r>
    <w:r>
      <w:rPr>
        <w:rStyle w:val="17"/>
        <w:rFonts w:ascii="宋体"/>
        <w:szCs w:val="18"/>
      </w:rPr>
      <w:instrText xml:space="preserve">PAGE  </w:instrText>
    </w:r>
    <w:r>
      <w:rPr>
        <w:rFonts w:ascii="宋体"/>
        <w:szCs w:val="18"/>
      </w:rPr>
      <w:fldChar w:fldCharType="separate"/>
    </w:r>
    <w:r>
      <w:rPr>
        <w:rStyle w:val="17"/>
        <w:rFonts w:ascii="宋体"/>
        <w:szCs w:val="18"/>
      </w:rPr>
      <w:t>12</w:t>
    </w:r>
    <w:r>
      <w:rPr>
        <w:rFonts w:ascii="宋体"/>
        <w:szCs w:val="18"/>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7"/>
      </w:rPr>
    </w:pPr>
    <w:r>
      <w:fldChar w:fldCharType="begin"/>
    </w:r>
    <w:r>
      <w:rPr>
        <w:rStyle w:val="17"/>
      </w:rPr>
      <w:instrText xml:space="preserve">PAGE  </w:instrTex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7"/>
      </w:rPr>
    </w:pPr>
  </w:p>
  <w:p>
    <w:pPr>
      <w:pStyle w:val="8"/>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ascii="宋体" w:hAnsi="宋体"/>
        <w:szCs w:val="18"/>
      </w:rPr>
    </w:pPr>
    <w:r>
      <w:rPr>
        <w:rFonts w:ascii="宋体" w:hAnsi="宋体"/>
        <w:szCs w:val="18"/>
      </w:rPr>
      <w:fldChar w:fldCharType="begin"/>
    </w:r>
    <w:r>
      <w:rPr>
        <w:rStyle w:val="17"/>
        <w:rFonts w:ascii="宋体" w:hAnsi="宋体"/>
        <w:szCs w:val="18"/>
      </w:rPr>
      <w:instrText xml:space="preserve"> PAGE </w:instrText>
    </w:r>
    <w:r>
      <w:rPr>
        <w:rFonts w:ascii="宋体" w:hAnsi="宋体"/>
        <w:szCs w:val="18"/>
      </w:rPr>
      <w:fldChar w:fldCharType="separate"/>
    </w:r>
    <w:r>
      <w:rPr>
        <w:rStyle w:val="17"/>
        <w:rFonts w:ascii="宋体" w:hAnsi="宋体"/>
        <w:szCs w:val="18"/>
      </w:rPr>
      <w:t>- 13 -</w:t>
    </w:r>
    <w:r>
      <w:rPr>
        <w:rFonts w:ascii="宋体" w:hAnsi="宋体"/>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rPr>
        <w:rFonts w:hint="eastAsia" w:ascii="微软雅黑" w:hAnsi="微软雅黑" w:eastAsia="微软雅黑" w:cs="微软雅黑"/>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tabs>
        <w:tab w:val="right" w:pos="9540"/>
        <w:tab w:val="clear" w:pos="8306"/>
      </w:tabs>
      <w:ind w:right="-126" w:rightChars="-45"/>
      <w:jc w:val="left"/>
      <w:rPr>
        <w:rFonts w:ascii="方正仿宋_GBK" w:eastAsia="方正仿宋_GBK"/>
        <w:sz w:val="21"/>
        <w:szCs w:val="21"/>
      </w:rPr>
    </w:pPr>
    <w:r>
      <w:rPr>
        <w:rFonts w:hint="eastAsia" w:ascii="微软雅黑" w:hAnsi="微软雅黑" w:eastAsia="微软雅黑" w:cs="微软雅黑"/>
        <w:sz w:val="21"/>
        <w:szCs w:val="21"/>
      </w:rPr>
      <w:t xml:space="preserve">   </w:t>
    </w:r>
    <w:r>
      <w:rPr>
        <w:rFonts w:hint="eastAsia" w:ascii="方正仿宋_GBK" w:eastAsia="方正仿宋_GBK"/>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1A47EA"/>
    <w:multiLevelType w:val="singleLevel"/>
    <w:tmpl w:val="2C1A47EA"/>
    <w:lvl w:ilvl="0" w:tentative="0">
      <w:start w:val="5"/>
      <w:numFmt w:val="chineseCounting"/>
      <w:suff w:val="space"/>
      <w:lvlText w:val="第%1篇"/>
      <w:lvlJc w:val="left"/>
      <w:rPr>
        <w:rFonts w:hint="eastAsia"/>
      </w:rPr>
    </w:lvl>
  </w:abstractNum>
  <w:abstractNum w:abstractNumId="1">
    <w:nsid w:val="4174BBBA"/>
    <w:multiLevelType w:val="singleLevel"/>
    <w:tmpl w:val="4174BBBA"/>
    <w:lvl w:ilvl="0" w:tentative="0">
      <w:start w:val="2"/>
      <w:numFmt w:val="chineseCounting"/>
      <w:suff w:val="nothing"/>
      <w:lvlText w:val="（%1）"/>
      <w:lvlJc w:val="left"/>
      <w:rPr>
        <w:rFonts w:hint="eastAsia"/>
      </w:rPr>
    </w:lvl>
  </w:abstractNum>
  <w:abstractNum w:abstractNumId="2">
    <w:nsid w:val="6C80D529"/>
    <w:multiLevelType w:val="singleLevel"/>
    <w:tmpl w:val="6C80D529"/>
    <w:lvl w:ilvl="0" w:tentative="0">
      <w:start w:val="2"/>
      <w:numFmt w:val="chineseCounting"/>
      <w:suff w:val="space"/>
      <w:lvlText w:val="第%1篇"/>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15CB1165"/>
    <w:rsid w:val="000C21DC"/>
    <w:rsid w:val="00133FB5"/>
    <w:rsid w:val="001A1EE9"/>
    <w:rsid w:val="002973D8"/>
    <w:rsid w:val="00322C87"/>
    <w:rsid w:val="0035349D"/>
    <w:rsid w:val="003B4178"/>
    <w:rsid w:val="005551C1"/>
    <w:rsid w:val="00723243"/>
    <w:rsid w:val="007F3271"/>
    <w:rsid w:val="0080246C"/>
    <w:rsid w:val="008E70E5"/>
    <w:rsid w:val="00934B90"/>
    <w:rsid w:val="009652B4"/>
    <w:rsid w:val="00A122B6"/>
    <w:rsid w:val="00B12EF6"/>
    <w:rsid w:val="00BC56B2"/>
    <w:rsid w:val="00DA0580"/>
    <w:rsid w:val="00DC2653"/>
    <w:rsid w:val="00E55324"/>
    <w:rsid w:val="00EB1DCC"/>
    <w:rsid w:val="00ED2C81"/>
    <w:rsid w:val="00F7637B"/>
    <w:rsid w:val="104258B0"/>
    <w:rsid w:val="15CB1165"/>
    <w:rsid w:val="238057E2"/>
    <w:rsid w:val="465423CF"/>
    <w:rsid w:val="46CE6858"/>
    <w:rsid w:val="4AED5BDD"/>
    <w:rsid w:val="4AFA20FA"/>
    <w:rsid w:val="4C201CAE"/>
    <w:rsid w:val="65661CC5"/>
    <w:rsid w:val="65842EE1"/>
    <w:rsid w:val="74F17E67"/>
    <w:rsid w:val="753F442A"/>
    <w:rsid w:val="7BD13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8"/>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sz w:val="32"/>
    </w:rPr>
  </w:style>
  <w:style w:type="paragraph" w:styleId="3">
    <w:name w:val="heading 3"/>
    <w:basedOn w:val="1"/>
    <w:next w:val="1"/>
    <w:qFormat/>
    <w:uiPriority w:val="0"/>
    <w:pPr>
      <w:keepNext/>
      <w:keepLines/>
      <w:spacing w:line="413" w:lineRule="auto"/>
      <w:outlineLvl w:val="2"/>
    </w:pPr>
    <w:rPr>
      <w:b/>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sz w:val="32"/>
    </w:rPr>
  </w:style>
  <w:style w:type="paragraph" w:customStyle="1" w:styleId="5">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6">
    <w:name w:val="toc 3"/>
    <w:basedOn w:val="1"/>
    <w:next w:val="1"/>
    <w:qFormat/>
    <w:uiPriority w:val="39"/>
    <w:pPr>
      <w:ind w:left="840" w:leftChars="400"/>
    </w:pPr>
  </w:style>
  <w:style w:type="paragraph" w:styleId="7">
    <w:name w:val="Plain Text"/>
    <w:basedOn w:val="1"/>
    <w:qFormat/>
    <w:uiPriority w:val="0"/>
    <w:rPr>
      <w:rFonts w:ascii="宋体" w:hAnsi="Courier New"/>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toc 1"/>
    <w:basedOn w:val="1"/>
    <w:next w:val="1"/>
    <w:qFormat/>
    <w:uiPriority w:val="0"/>
    <w:pPr>
      <w:spacing w:line="180" w:lineRule="auto"/>
      <w:jc w:val="center"/>
    </w:pPr>
    <w:rPr>
      <w:sz w:val="30"/>
    </w:rPr>
  </w:style>
  <w:style w:type="paragraph" w:styleId="11">
    <w:name w:val="index 7"/>
    <w:basedOn w:val="1"/>
    <w:next w:val="1"/>
    <w:qFormat/>
    <w:uiPriority w:val="0"/>
    <w:pPr>
      <w:ind w:left="2520"/>
    </w:pPr>
  </w:style>
  <w:style w:type="paragraph" w:styleId="12">
    <w:name w:val="toc 2"/>
    <w:basedOn w:val="1"/>
    <w:next w:val="1"/>
    <w:qFormat/>
    <w:uiPriority w:val="39"/>
    <w:pPr>
      <w:ind w:left="420" w:leftChars="200"/>
    </w:pPr>
  </w:style>
  <w:style w:type="paragraph" w:styleId="13">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sz w:val="24"/>
      <w:szCs w:val="24"/>
    </w:rPr>
  </w:style>
  <w:style w:type="table" w:styleId="15">
    <w:name w:val="Table Grid"/>
    <w:basedOn w:val="14"/>
    <w:qFormat/>
    <w:uiPriority w:val="0"/>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paragraph" w:customStyle="1" w:styleId="18">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19">
    <w:name w:val="1"/>
    <w:basedOn w:val="1"/>
    <w:next w:val="7"/>
    <w:qFormat/>
    <w:uiPriority w:val="0"/>
    <w:rPr>
      <w:rFonts w:ascii="宋体" w:hAnsi="Courier New"/>
      <w:sz w:val="21"/>
    </w:rPr>
  </w:style>
  <w:style w:type="paragraph" w:customStyle="1" w:styleId="20">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table" w:customStyle="1" w:styleId="21">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16542</Words>
  <Characters>17056</Characters>
  <Lines>803</Lines>
  <Paragraphs>643</Paragraphs>
  <TotalTime>0</TotalTime>
  <ScaleCrop>false</ScaleCrop>
  <LinksUpToDate>false</LinksUpToDate>
  <CharactersWithSpaces>18028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2025-05-21T00:28:00Z</dcterms:created>
  <dc:creator>WPS_1717571575</dc:creator>
  <cp:lastModifiedBy>WPS_1717571575</cp:lastModifiedBy>
  <cp:lastPrinted>2025-05-22T03:30:00Z</cp:lastPrinted>
  <dcterms:modified xsi:type="dcterms:W3CDTF">2025-05-29T00:26:02Z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ECF437C5F34A45D2B89AEE59463599BF_11</vt:lpwstr>
  </property>
  <property fmtid="{D5CDD505-2E9C-101B-9397-08002B2CF9AE}" pid="4" name="KSOTemplateDocerSaveRecord">
    <vt:lpwstr>eyJoZGlkIjoiOWFhMjBmZjM3MTBiYWQzOWQ4MjJjMTBjY2VhOGNmNDAiLCJ1c2VySWQiOiIxNjA1MTM1NDc4In0=</vt:lpwstr>
  </property>
</Properties>
</file>