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color w:val="auto"/>
          <w:highlight w:val="none"/>
        </w:rPr>
      </w:pPr>
    </w:p>
    <w:p>
      <w:pPr>
        <w:pStyle w:val="4"/>
        <w:rPr>
          <w:rFonts w:hint="eastAsia" w:ascii="微软雅黑" w:hAnsi="微软雅黑" w:eastAsia="微软雅黑" w:cs="微软雅黑"/>
          <w:color w:val="auto"/>
          <w:highlight w:val="none"/>
        </w:rPr>
      </w:pPr>
    </w:p>
    <w:p>
      <w:pPr>
        <w:pStyle w:val="5"/>
        <w:rPr>
          <w:rFonts w:hint="eastAsia" w:ascii="微软雅黑" w:hAnsi="微软雅黑" w:eastAsia="微软雅黑" w:cs="微软雅黑"/>
          <w:color w:val="auto"/>
          <w:highlight w:val="none"/>
        </w:rPr>
      </w:pPr>
    </w:p>
    <w:p>
      <w:pPr>
        <w:rPr>
          <w:color w:val="auto"/>
          <w:highlight w:val="none"/>
        </w:rPr>
      </w:pPr>
    </w:p>
    <w:p>
      <w:pPr>
        <w:spacing w:line="780" w:lineRule="exact"/>
        <w:jc w:val="center"/>
        <w:rPr>
          <w:rFonts w:hint="eastAsia" w:ascii="微软雅黑" w:hAnsi="微软雅黑" w:eastAsia="微软雅黑" w:cs="微软雅黑"/>
          <w:b/>
          <w:bCs/>
          <w:color w:val="auto"/>
          <w:sz w:val="36"/>
          <w:szCs w:val="36"/>
          <w:highlight w:val="none"/>
        </w:rPr>
      </w:pPr>
      <w:r>
        <w:rPr>
          <w:rFonts w:hint="eastAsia" w:ascii="微软雅黑" w:hAnsi="微软雅黑" w:eastAsia="微软雅黑" w:cs="微软雅黑"/>
          <w:b/>
          <w:bCs/>
          <w:color w:val="auto"/>
          <w:sz w:val="36"/>
          <w:szCs w:val="36"/>
          <w:highlight w:val="none"/>
        </w:rPr>
        <w:t>重庆两江新区人民医院</w:t>
      </w:r>
    </w:p>
    <w:p>
      <w:pPr>
        <w:spacing w:line="780" w:lineRule="exact"/>
        <w:jc w:val="center"/>
        <w:rPr>
          <w:rFonts w:hint="eastAsia" w:ascii="微软雅黑" w:hAnsi="微软雅黑" w:eastAsia="微软雅黑" w:cs="微软雅黑"/>
          <w:b/>
          <w:bCs/>
          <w:color w:val="auto"/>
          <w:sz w:val="36"/>
          <w:szCs w:val="36"/>
          <w:highlight w:val="none"/>
          <w:lang w:eastAsia="zh-CN"/>
        </w:rPr>
      </w:pPr>
      <w:r>
        <w:rPr>
          <w:rFonts w:hint="eastAsia" w:ascii="微软雅黑" w:hAnsi="微软雅黑" w:eastAsia="微软雅黑" w:cs="微软雅黑"/>
          <w:b/>
          <w:bCs/>
          <w:color w:val="auto"/>
          <w:sz w:val="36"/>
          <w:szCs w:val="36"/>
          <w:highlight w:val="none"/>
        </w:rPr>
        <w:t>招标代理服务机构遴选项目竞争性比选</w:t>
      </w:r>
      <w:r>
        <w:rPr>
          <w:rFonts w:hint="eastAsia" w:ascii="微软雅黑" w:hAnsi="微软雅黑" w:eastAsia="微软雅黑" w:cs="微软雅黑"/>
          <w:b/>
          <w:bCs/>
          <w:color w:val="auto"/>
          <w:sz w:val="36"/>
          <w:szCs w:val="36"/>
          <w:highlight w:val="none"/>
          <w:lang w:eastAsia="zh-CN"/>
        </w:rPr>
        <w:t>（</w:t>
      </w:r>
      <w:r>
        <w:rPr>
          <w:rFonts w:hint="eastAsia" w:ascii="微软雅黑" w:hAnsi="微软雅黑" w:eastAsia="微软雅黑" w:cs="微软雅黑"/>
          <w:b/>
          <w:bCs/>
          <w:color w:val="auto"/>
          <w:sz w:val="36"/>
          <w:szCs w:val="36"/>
          <w:highlight w:val="none"/>
          <w:lang w:val="en-US" w:eastAsia="zh-CN"/>
        </w:rPr>
        <w:t>第二次</w:t>
      </w:r>
      <w:r>
        <w:rPr>
          <w:rFonts w:hint="eastAsia" w:ascii="微软雅黑" w:hAnsi="微软雅黑" w:eastAsia="微软雅黑" w:cs="微软雅黑"/>
          <w:b/>
          <w:bCs/>
          <w:color w:val="auto"/>
          <w:sz w:val="36"/>
          <w:szCs w:val="36"/>
          <w:highlight w:val="none"/>
          <w:lang w:eastAsia="zh-CN"/>
        </w:rPr>
        <w:t>）</w:t>
      </w:r>
    </w:p>
    <w:p>
      <w:pPr>
        <w:spacing w:line="700" w:lineRule="exact"/>
        <w:jc w:val="center"/>
        <w:rPr>
          <w:rFonts w:hint="eastAsia" w:ascii="微软雅黑" w:hAnsi="微软雅黑" w:eastAsia="微软雅黑" w:cs="微软雅黑"/>
          <w:color w:val="auto"/>
          <w:sz w:val="32"/>
          <w:highlight w:val="none"/>
        </w:rPr>
      </w:pPr>
    </w:p>
    <w:p>
      <w:pPr>
        <w:pStyle w:val="10"/>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pStyle w:val="11"/>
        <w:rPr>
          <w:color w:val="auto"/>
          <w:highlight w:val="none"/>
        </w:rPr>
      </w:pPr>
    </w:p>
    <w:p>
      <w:pPr>
        <w:rPr>
          <w:color w:val="auto"/>
          <w:highlight w:val="none"/>
        </w:rPr>
      </w:pPr>
    </w:p>
    <w:p>
      <w:pPr>
        <w:pStyle w:val="4"/>
        <w:rPr>
          <w:color w:val="auto"/>
          <w:highlight w:val="none"/>
        </w:rPr>
      </w:pPr>
    </w:p>
    <w:p>
      <w:pPr>
        <w:jc w:val="center"/>
        <w:rPr>
          <w:rFonts w:hint="eastAsia" w:ascii="微软雅黑" w:hAnsi="微软雅黑" w:eastAsia="微软雅黑" w:cs="微软雅黑"/>
          <w:color w:val="auto"/>
          <w:szCs w:val="28"/>
          <w:highlight w:val="none"/>
        </w:rPr>
      </w:pPr>
      <w:r>
        <w:rPr>
          <w:rFonts w:hint="eastAsia" w:ascii="微软雅黑" w:hAnsi="微软雅黑" w:eastAsia="微软雅黑" w:cs="微软雅黑"/>
          <w:color w:val="auto"/>
          <w:sz w:val="30"/>
          <w:szCs w:val="30"/>
          <w:highlight w:val="none"/>
        </w:rPr>
        <w:t>采购人：重庆两江新区人民医院</w:t>
      </w:r>
    </w:p>
    <w:p>
      <w:pPr>
        <w:spacing w:line="720" w:lineRule="exact"/>
        <w:jc w:val="center"/>
        <w:outlineLvl w:val="0"/>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rPr>
        <w:t xml:space="preserve">   二〇二五年</w:t>
      </w:r>
      <w:r>
        <w:rPr>
          <w:rFonts w:hint="eastAsia" w:ascii="微软雅黑" w:hAnsi="微软雅黑" w:eastAsia="微软雅黑" w:cs="微软雅黑"/>
          <w:color w:val="auto"/>
          <w:sz w:val="30"/>
          <w:szCs w:val="30"/>
          <w:highlight w:val="none"/>
          <w:lang w:val="en-US" w:eastAsia="zh-CN"/>
        </w:rPr>
        <w:t>六</w:t>
      </w:r>
      <w:r>
        <w:rPr>
          <w:rFonts w:hint="eastAsia" w:ascii="微软雅黑" w:hAnsi="微软雅黑" w:eastAsia="微软雅黑" w:cs="微软雅黑"/>
          <w:color w:val="auto"/>
          <w:sz w:val="30"/>
          <w:szCs w:val="30"/>
          <w:highlight w:val="none"/>
        </w:rPr>
        <w:t>月</w:t>
      </w:r>
    </w:p>
    <w:p>
      <w:pPr>
        <w:spacing w:line="480" w:lineRule="exact"/>
        <w:jc w:val="center"/>
        <w:outlineLvl w:val="0"/>
        <w:rPr>
          <w:rFonts w:hint="eastAsia" w:ascii="微软雅黑" w:hAnsi="微软雅黑" w:eastAsia="微软雅黑" w:cs="微软雅黑"/>
          <w:color w:val="auto"/>
          <w:sz w:val="44"/>
          <w:szCs w:val="28"/>
          <w:highlight w:val="none"/>
        </w:rPr>
      </w:pPr>
    </w:p>
    <w:p>
      <w:pPr>
        <w:pStyle w:val="5"/>
        <w:rPr>
          <w:rFonts w:hint="eastAsia" w:ascii="微软雅黑" w:hAnsi="微软雅黑" w:eastAsia="微软雅黑" w:cs="微软雅黑"/>
          <w:color w:val="auto"/>
          <w:sz w:val="44"/>
          <w:szCs w:val="28"/>
          <w:highlight w:val="none"/>
        </w:rPr>
      </w:pPr>
    </w:p>
    <w:p>
      <w:pPr>
        <w:rPr>
          <w:rFonts w:hint="eastAsia" w:ascii="微软雅黑" w:hAnsi="微软雅黑" w:eastAsia="微软雅黑" w:cs="微软雅黑"/>
          <w:color w:val="auto"/>
          <w:sz w:val="44"/>
          <w:szCs w:val="28"/>
          <w:highlight w:val="none"/>
        </w:rPr>
      </w:pPr>
    </w:p>
    <w:p>
      <w:pPr>
        <w:pStyle w:val="4"/>
        <w:rPr>
          <w:rFonts w:hint="eastAsia" w:ascii="微软雅黑" w:hAnsi="微软雅黑" w:eastAsia="微软雅黑" w:cs="微软雅黑"/>
          <w:color w:val="auto"/>
          <w:sz w:val="44"/>
          <w:szCs w:val="28"/>
          <w:highlight w:val="none"/>
        </w:rPr>
      </w:pPr>
    </w:p>
    <w:p>
      <w:pPr>
        <w:pStyle w:val="5"/>
        <w:rPr>
          <w:rFonts w:hint="eastAsia" w:ascii="微软雅黑" w:hAnsi="微软雅黑" w:eastAsia="微软雅黑" w:cs="微软雅黑"/>
          <w:color w:val="auto"/>
          <w:sz w:val="44"/>
          <w:szCs w:val="28"/>
          <w:highlight w:val="none"/>
        </w:rPr>
      </w:pPr>
    </w:p>
    <w:p>
      <w:pPr>
        <w:pStyle w:val="5"/>
        <w:rPr>
          <w:color w:val="auto"/>
          <w:highlight w:val="none"/>
        </w:rPr>
      </w:pPr>
      <w:r>
        <w:rPr>
          <w:rFonts w:hint="eastAsia"/>
          <w:color w:val="auto"/>
          <w:highlight w:val="none"/>
        </w:rPr>
        <w:br w:type="page"/>
      </w:r>
    </w:p>
    <w:p>
      <w:pPr>
        <w:spacing w:line="480" w:lineRule="exact"/>
        <w:jc w:val="center"/>
        <w:outlineLvl w:val="0"/>
        <w:rPr>
          <w:rFonts w:hint="eastAsia" w:ascii="微软雅黑" w:hAnsi="微软雅黑" w:eastAsia="微软雅黑" w:cs="微软雅黑"/>
          <w:color w:val="auto"/>
          <w:sz w:val="44"/>
          <w:szCs w:val="28"/>
          <w:highlight w:val="none"/>
        </w:rPr>
      </w:pPr>
      <w:r>
        <w:rPr>
          <w:rFonts w:hint="eastAsia" w:ascii="微软雅黑" w:hAnsi="微软雅黑" w:eastAsia="微软雅黑" w:cs="微软雅黑"/>
          <w:color w:val="auto"/>
          <w:sz w:val="44"/>
          <w:szCs w:val="28"/>
          <w:highlight w:val="none"/>
        </w:rPr>
        <w:t>目   录</w:t>
      </w:r>
    </w:p>
    <w:p>
      <w:pPr>
        <w:pStyle w:val="12"/>
        <w:tabs>
          <w:tab w:val="right" w:leader="dot" w:pos="9412"/>
        </w:tabs>
        <w:ind w:left="560"/>
        <w:rPr>
          <w:color w:val="auto"/>
          <w:highlight w:val="none"/>
        </w:rPr>
      </w:pPr>
      <w:r>
        <w:rPr>
          <w:rFonts w:hint="eastAsia" w:ascii="微软雅黑" w:hAnsi="微软雅黑" w:eastAsia="微软雅黑" w:cs="微软雅黑"/>
          <w:color w:val="auto"/>
          <w:sz w:val="21"/>
          <w:szCs w:val="21"/>
          <w:highlight w:val="none"/>
        </w:rPr>
        <w:fldChar w:fldCharType="begin"/>
      </w:r>
      <w:r>
        <w:rPr>
          <w:rFonts w:hint="eastAsia" w:ascii="微软雅黑" w:hAnsi="微软雅黑" w:eastAsia="微软雅黑" w:cs="微软雅黑"/>
          <w:color w:val="auto"/>
          <w:sz w:val="21"/>
          <w:szCs w:val="21"/>
          <w:highlight w:val="none"/>
        </w:rPr>
        <w:instrText xml:space="preserve"> TOC \o "1-3" \h \z </w:instrText>
      </w:r>
      <w:r>
        <w:rPr>
          <w:rFonts w:hint="eastAsia" w:ascii="微软雅黑" w:hAnsi="微软雅黑" w:eastAsia="微软雅黑" w:cs="微软雅黑"/>
          <w:color w:val="auto"/>
          <w:sz w:val="21"/>
          <w:szCs w:val="21"/>
          <w:highlight w:val="none"/>
        </w:rPr>
        <w:fldChar w:fldCharType="separate"/>
      </w:r>
      <w:r>
        <w:rPr>
          <w:color w:val="auto"/>
          <w:highlight w:val="none"/>
        </w:rPr>
        <w:fldChar w:fldCharType="begin"/>
      </w:r>
      <w:r>
        <w:rPr>
          <w:color w:val="auto"/>
          <w:highlight w:val="none"/>
        </w:rPr>
        <w:instrText xml:space="preserve"> HYPERLINK \l "_Toc20184" </w:instrText>
      </w:r>
      <w:r>
        <w:rPr>
          <w:color w:val="auto"/>
          <w:highlight w:val="none"/>
        </w:rPr>
        <w:fldChar w:fldCharType="separate"/>
      </w:r>
      <w:r>
        <w:rPr>
          <w:rFonts w:hint="eastAsia" w:ascii="微软雅黑" w:hAnsi="微软雅黑" w:eastAsia="微软雅黑" w:cs="微软雅黑"/>
          <w:color w:val="auto"/>
          <w:szCs w:val="30"/>
          <w:highlight w:val="none"/>
        </w:rPr>
        <w:t>第一篇  比选邀请书</w:t>
      </w:r>
      <w:r>
        <w:rPr>
          <w:color w:val="auto"/>
          <w:highlight w:val="none"/>
        </w:rPr>
        <w:tab/>
      </w:r>
      <w:r>
        <w:rPr>
          <w:color w:val="auto"/>
          <w:highlight w:val="none"/>
        </w:rPr>
        <w:fldChar w:fldCharType="begin"/>
      </w:r>
      <w:r>
        <w:rPr>
          <w:color w:val="auto"/>
          <w:highlight w:val="none"/>
        </w:rPr>
        <w:instrText xml:space="preserve"> PAGEREF _Toc20184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"_Toc16818" </w:instrText>
      </w:r>
      <w:r>
        <w:rPr>
          <w:color w:val="auto"/>
          <w:highlight w:val="none"/>
        </w:rPr>
        <w:fldChar w:fldCharType="separate"/>
      </w:r>
      <w:r>
        <w:rPr>
          <w:rFonts w:hint="eastAsia" w:ascii="微软雅黑" w:hAnsi="微软雅黑" w:eastAsia="微软雅黑" w:cs="微软雅黑"/>
          <w:color w:val="auto"/>
          <w:szCs w:val="24"/>
          <w:highlight w:val="none"/>
        </w:rPr>
        <w:t>一、竞争性比选内容</w:t>
      </w:r>
      <w:r>
        <w:rPr>
          <w:color w:val="auto"/>
          <w:highlight w:val="none"/>
        </w:rPr>
        <w:tab/>
      </w:r>
      <w:r>
        <w:rPr>
          <w:color w:val="auto"/>
          <w:highlight w:val="none"/>
        </w:rPr>
        <w:fldChar w:fldCharType="begin"/>
      </w:r>
      <w:r>
        <w:rPr>
          <w:color w:val="auto"/>
          <w:highlight w:val="none"/>
        </w:rPr>
        <w:instrText xml:space="preserve"> PAGEREF _Toc16818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"_Toc10048" </w:instrText>
      </w:r>
      <w:r>
        <w:rPr>
          <w:color w:val="auto"/>
          <w:highlight w:val="none"/>
        </w:rPr>
        <w:fldChar w:fldCharType="separate"/>
      </w:r>
      <w:r>
        <w:rPr>
          <w:rFonts w:hint="eastAsia" w:ascii="微软雅黑" w:hAnsi="微软雅黑" w:eastAsia="微软雅黑" w:cs="微软雅黑"/>
          <w:color w:val="auto"/>
          <w:szCs w:val="24"/>
          <w:highlight w:val="none"/>
        </w:rPr>
        <w:t>二、代理机构资格条件</w:t>
      </w:r>
      <w:r>
        <w:rPr>
          <w:color w:val="auto"/>
          <w:highlight w:val="none"/>
        </w:rPr>
        <w:tab/>
      </w:r>
      <w:r>
        <w:rPr>
          <w:color w:val="auto"/>
          <w:highlight w:val="none"/>
        </w:rPr>
        <w:fldChar w:fldCharType="begin"/>
      </w:r>
      <w:r>
        <w:rPr>
          <w:color w:val="auto"/>
          <w:highlight w:val="none"/>
        </w:rPr>
        <w:instrText xml:space="preserve"> PAGEREF _Toc10048 \h </w:instrText>
      </w:r>
      <w:r>
        <w:rPr>
          <w:color w:val="auto"/>
          <w:highlight w:val="none"/>
        </w:rPr>
        <w:fldChar w:fldCharType="separate"/>
      </w:r>
      <w:r>
        <w:rPr>
          <w:color w:val="auto"/>
          <w:highlight w:val="none"/>
        </w:rPr>
        <w:t>- 4 -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"_Toc18033" </w:instrText>
      </w:r>
      <w:r>
        <w:rPr>
          <w:color w:val="auto"/>
          <w:highlight w:val="none"/>
        </w:rPr>
        <w:fldChar w:fldCharType="separate"/>
      </w:r>
      <w:r>
        <w:rPr>
          <w:rFonts w:hint="eastAsia" w:ascii="微软雅黑" w:hAnsi="微软雅黑" w:eastAsia="微软雅黑" w:cs="微软雅黑"/>
          <w:color w:val="auto"/>
          <w:szCs w:val="24"/>
          <w:highlight w:val="none"/>
        </w:rPr>
        <w:t>三、比选有关说明</w:t>
      </w:r>
      <w:r>
        <w:rPr>
          <w:color w:val="auto"/>
          <w:highlight w:val="none"/>
        </w:rPr>
        <w:tab/>
      </w:r>
      <w:r>
        <w:rPr>
          <w:color w:val="auto"/>
          <w:highlight w:val="none"/>
        </w:rPr>
        <w:fldChar w:fldCharType="begin"/>
      </w:r>
      <w:r>
        <w:rPr>
          <w:color w:val="auto"/>
          <w:highlight w:val="none"/>
        </w:rPr>
        <w:instrText xml:space="preserve"> PAGEREF _Toc18033 \h </w:instrText>
      </w:r>
      <w:r>
        <w:rPr>
          <w:color w:val="auto"/>
          <w:highlight w:val="none"/>
        </w:rPr>
        <w:fldChar w:fldCharType="separate"/>
      </w:r>
      <w:r>
        <w:rPr>
          <w:color w:val="auto"/>
          <w:highlight w:val="none"/>
        </w:rPr>
        <w:t>- 5 -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"_Toc6849" </w:instrText>
      </w:r>
      <w:r>
        <w:rPr>
          <w:color w:val="auto"/>
          <w:highlight w:val="none"/>
        </w:rPr>
        <w:fldChar w:fldCharType="separate"/>
      </w:r>
      <w:r>
        <w:rPr>
          <w:rFonts w:hint="eastAsia" w:ascii="微软雅黑" w:hAnsi="微软雅黑" w:eastAsia="微软雅黑" w:cs="微软雅黑"/>
          <w:color w:val="auto"/>
          <w:szCs w:val="24"/>
          <w:highlight w:val="none"/>
        </w:rPr>
        <w:t>四、其它有关规定</w:t>
      </w:r>
      <w:r>
        <w:rPr>
          <w:color w:val="auto"/>
          <w:highlight w:val="none"/>
        </w:rPr>
        <w:tab/>
      </w:r>
      <w:r>
        <w:rPr>
          <w:color w:val="auto"/>
          <w:highlight w:val="none"/>
        </w:rPr>
        <w:fldChar w:fldCharType="begin"/>
      </w:r>
      <w:r>
        <w:rPr>
          <w:color w:val="auto"/>
          <w:highlight w:val="none"/>
        </w:rPr>
        <w:instrText xml:space="preserve"> PAGEREF _Toc6849 \h </w:instrText>
      </w:r>
      <w:r>
        <w:rPr>
          <w:color w:val="auto"/>
          <w:highlight w:val="none"/>
        </w:rPr>
        <w:fldChar w:fldCharType="separate"/>
      </w:r>
      <w:r>
        <w:rPr>
          <w:color w:val="auto"/>
          <w:highlight w:val="none"/>
        </w:rPr>
        <w:t>- 5 -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"_Toc25558" </w:instrText>
      </w:r>
      <w:r>
        <w:rPr>
          <w:color w:val="auto"/>
          <w:highlight w:val="none"/>
        </w:rPr>
        <w:fldChar w:fldCharType="separate"/>
      </w:r>
      <w:r>
        <w:rPr>
          <w:rFonts w:hint="eastAsia" w:ascii="微软雅黑" w:hAnsi="微软雅黑" w:eastAsia="微软雅黑" w:cs="微软雅黑"/>
          <w:color w:val="auto"/>
          <w:szCs w:val="24"/>
          <w:highlight w:val="none"/>
        </w:rPr>
        <w:t>五、联系方式</w:t>
      </w:r>
      <w:r>
        <w:rPr>
          <w:color w:val="auto"/>
          <w:highlight w:val="none"/>
        </w:rPr>
        <w:tab/>
      </w:r>
      <w:r>
        <w:rPr>
          <w:color w:val="auto"/>
          <w:highlight w:val="none"/>
        </w:rPr>
        <w:fldChar w:fldCharType="begin"/>
      </w:r>
      <w:r>
        <w:rPr>
          <w:color w:val="auto"/>
          <w:highlight w:val="none"/>
        </w:rPr>
        <w:instrText xml:space="preserve"> PAGEREF _Toc25558 \h </w:instrText>
      </w:r>
      <w:r>
        <w:rPr>
          <w:color w:val="auto"/>
          <w:highlight w:val="none"/>
        </w:rPr>
        <w:fldChar w:fldCharType="separate"/>
      </w:r>
      <w:r>
        <w:rPr>
          <w:color w:val="auto"/>
          <w:highlight w:val="none"/>
        </w:rPr>
        <w:t>- 6 -</w:t>
      </w:r>
      <w:r>
        <w:rPr>
          <w:color w:val="auto"/>
          <w:highlight w:val="none"/>
        </w:rPr>
        <w:fldChar w:fldCharType="end"/>
      </w:r>
      <w:r>
        <w:rPr>
          <w:color w:val="auto"/>
          <w:highlight w:val="none"/>
        </w:rPr>
        <w:fldChar w:fldCharType="end"/>
      </w:r>
    </w:p>
    <w:p>
      <w:pPr>
        <w:pStyle w:val="12"/>
        <w:tabs>
          <w:tab w:val="right" w:leader="dot" w:pos="9412"/>
        </w:tabs>
        <w:ind w:left="560"/>
        <w:rPr>
          <w:color w:val="auto"/>
          <w:highlight w:val="none"/>
        </w:rPr>
      </w:pPr>
      <w:r>
        <w:rPr>
          <w:color w:val="auto"/>
          <w:highlight w:val="none"/>
        </w:rPr>
        <w:fldChar w:fldCharType="begin"/>
      </w:r>
      <w:r>
        <w:rPr>
          <w:color w:val="auto"/>
          <w:highlight w:val="none"/>
        </w:rPr>
        <w:instrText xml:space="preserve"> HYPERLINK \l "_Toc25460" </w:instrText>
      </w:r>
      <w:r>
        <w:rPr>
          <w:color w:val="auto"/>
          <w:highlight w:val="none"/>
        </w:rPr>
        <w:fldChar w:fldCharType="separate"/>
      </w:r>
      <w:r>
        <w:rPr>
          <w:rFonts w:hint="eastAsia" w:ascii="微软雅黑" w:hAnsi="微软雅黑" w:eastAsia="微软雅黑" w:cs="微软雅黑"/>
          <w:color w:val="auto"/>
          <w:szCs w:val="30"/>
          <w:highlight w:val="none"/>
        </w:rPr>
        <w:t>第二篇 项目服务需求</w:t>
      </w:r>
      <w:r>
        <w:rPr>
          <w:color w:val="auto"/>
          <w:highlight w:val="none"/>
        </w:rPr>
        <w:tab/>
      </w:r>
      <w:r>
        <w:rPr>
          <w:color w:val="auto"/>
          <w:highlight w:val="none"/>
        </w:rPr>
        <w:fldChar w:fldCharType="begin"/>
      </w:r>
      <w:r>
        <w:rPr>
          <w:color w:val="auto"/>
          <w:highlight w:val="none"/>
        </w:rPr>
        <w:instrText xml:space="preserve"> PAGEREF _Toc25460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"_Toc3382" </w:instrText>
      </w:r>
      <w:r>
        <w:rPr>
          <w:color w:val="auto"/>
          <w:highlight w:val="none"/>
        </w:rPr>
        <w:fldChar w:fldCharType="separate"/>
      </w:r>
      <w:r>
        <w:rPr>
          <w:rFonts w:hint="eastAsia" w:ascii="微软雅黑" w:hAnsi="微软雅黑" w:eastAsia="微软雅黑" w:cs="微软雅黑"/>
          <w:color w:val="auto"/>
          <w:szCs w:val="28"/>
          <w:highlight w:val="none"/>
        </w:rPr>
        <w:t>一、服务内容</w:t>
      </w:r>
      <w:r>
        <w:rPr>
          <w:color w:val="auto"/>
          <w:highlight w:val="none"/>
        </w:rPr>
        <w:tab/>
      </w:r>
      <w:r>
        <w:rPr>
          <w:color w:val="auto"/>
          <w:highlight w:val="none"/>
        </w:rPr>
        <w:fldChar w:fldCharType="begin"/>
      </w:r>
      <w:r>
        <w:rPr>
          <w:color w:val="auto"/>
          <w:highlight w:val="none"/>
        </w:rPr>
        <w:instrText xml:space="preserve"> PAGEREF _Toc3382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"_Toc10896" </w:instrText>
      </w:r>
      <w:r>
        <w:rPr>
          <w:color w:val="auto"/>
          <w:highlight w:val="none"/>
        </w:rPr>
        <w:fldChar w:fldCharType="separate"/>
      </w:r>
      <w:r>
        <w:rPr>
          <w:rFonts w:hint="eastAsia" w:ascii="微软雅黑" w:hAnsi="微软雅黑" w:eastAsia="微软雅黑" w:cs="微软雅黑"/>
          <w:color w:val="auto"/>
          <w:szCs w:val="28"/>
          <w:highlight w:val="none"/>
        </w:rPr>
        <w:t>二、服务要求</w:t>
      </w:r>
      <w:r>
        <w:rPr>
          <w:color w:val="auto"/>
          <w:highlight w:val="none"/>
        </w:rPr>
        <w:tab/>
      </w:r>
      <w:r>
        <w:rPr>
          <w:color w:val="auto"/>
          <w:highlight w:val="none"/>
        </w:rPr>
        <w:fldChar w:fldCharType="begin"/>
      </w:r>
      <w:r>
        <w:rPr>
          <w:color w:val="auto"/>
          <w:highlight w:val="none"/>
        </w:rPr>
        <w:instrText xml:space="preserve"> PAGEREF _Toc10896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"_Toc1361" </w:instrText>
      </w:r>
      <w:r>
        <w:rPr>
          <w:color w:val="auto"/>
          <w:highlight w:val="none"/>
        </w:rPr>
        <w:fldChar w:fldCharType="separate"/>
      </w:r>
      <w:r>
        <w:rPr>
          <w:rFonts w:hint="eastAsia" w:ascii="微软雅黑" w:hAnsi="微软雅黑" w:eastAsia="微软雅黑" w:cs="微软雅黑"/>
          <w:color w:val="auto"/>
          <w:szCs w:val="28"/>
          <w:highlight w:val="none"/>
        </w:rPr>
        <w:t>三、采购代理服务费的收取标准</w:t>
      </w:r>
      <w:r>
        <w:rPr>
          <w:color w:val="auto"/>
          <w:highlight w:val="none"/>
        </w:rPr>
        <w:tab/>
      </w:r>
      <w:r>
        <w:rPr>
          <w:color w:val="auto"/>
          <w:highlight w:val="none"/>
        </w:rPr>
        <w:fldChar w:fldCharType="begin"/>
      </w:r>
      <w:r>
        <w:rPr>
          <w:color w:val="auto"/>
          <w:highlight w:val="none"/>
        </w:rPr>
        <w:instrText xml:space="preserve"> PAGEREF _Toc1361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"_Toc5270" </w:instrText>
      </w:r>
      <w:r>
        <w:rPr>
          <w:color w:val="auto"/>
          <w:highlight w:val="none"/>
        </w:rPr>
        <w:fldChar w:fldCharType="separate"/>
      </w:r>
      <w:r>
        <w:rPr>
          <w:rFonts w:hint="eastAsia" w:ascii="微软雅黑" w:hAnsi="微软雅黑" w:eastAsia="微软雅黑" w:cs="微软雅黑"/>
          <w:color w:val="auto"/>
          <w:szCs w:val="28"/>
          <w:highlight w:val="none"/>
        </w:rPr>
        <w:t>四、委派方式</w:t>
      </w:r>
      <w:r>
        <w:rPr>
          <w:color w:val="auto"/>
          <w:highlight w:val="none"/>
        </w:rPr>
        <w:tab/>
      </w:r>
      <w:r>
        <w:rPr>
          <w:color w:val="auto"/>
          <w:highlight w:val="none"/>
        </w:rPr>
        <w:fldChar w:fldCharType="begin"/>
      </w:r>
      <w:r>
        <w:rPr>
          <w:color w:val="auto"/>
          <w:highlight w:val="none"/>
        </w:rPr>
        <w:instrText xml:space="preserve"> PAGEREF _Toc5270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"_Toc8284" </w:instrText>
      </w:r>
      <w:r>
        <w:rPr>
          <w:color w:val="auto"/>
          <w:highlight w:val="none"/>
        </w:rPr>
        <w:fldChar w:fldCharType="separate"/>
      </w:r>
      <w:r>
        <w:rPr>
          <w:rFonts w:hint="eastAsia" w:ascii="微软雅黑" w:hAnsi="微软雅黑" w:eastAsia="微软雅黑" w:cs="微软雅黑"/>
          <w:color w:val="auto"/>
          <w:szCs w:val="28"/>
          <w:highlight w:val="none"/>
        </w:rPr>
        <w:t>五、考核管理</w:t>
      </w:r>
      <w:r>
        <w:rPr>
          <w:color w:val="auto"/>
          <w:highlight w:val="none"/>
        </w:rPr>
        <w:tab/>
      </w:r>
      <w:r>
        <w:rPr>
          <w:color w:val="auto"/>
          <w:highlight w:val="none"/>
        </w:rPr>
        <w:fldChar w:fldCharType="begin"/>
      </w:r>
      <w:r>
        <w:rPr>
          <w:color w:val="auto"/>
          <w:highlight w:val="none"/>
        </w:rPr>
        <w:instrText xml:space="preserve"> PAGEREF _Toc8284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"_Toc18358" </w:instrText>
      </w:r>
      <w:r>
        <w:rPr>
          <w:color w:val="auto"/>
          <w:highlight w:val="none"/>
        </w:rPr>
        <w:fldChar w:fldCharType="separate"/>
      </w:r>
      <w:r>
        <w:rPr>
          <w:rFonts w:hint="eastAsia" w:ascii="微软雅黑" w:hAnsi="微软雅黑" w:eastAsia="微软雅黑" w:cs="微软雅黑"/>
          <w:color w:val="auto"/>
          <w:szCs w:val="28"/>
          <w:highlight w:val="none"/>
        </w:rPr>
        <w:t>六、违约责任</w:t>
      </w:r>
      <w:r>
        <w:rPr>
          <w:color w:val="auto"/>
          <w:highlight w:val="none"/>
        </w:rPr>
        <w:tab/>
      </w:r>
      <w:r>
        <w:rPr>
          <w:color w:val="auto"/>
          <w:highlight w:val="none"/>
        </w:rPr>
        <w:fldChar w:fldCharType="begin"/>
      </w:r>
      <w:r>
        <w:rPr>
          <w:color w:val="auto"/>
          <w:highlight w:val="none"/>
        </w:rPr>
        <w:instrText xml:space="preserve"> PAGEREF _Toc18358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"_Toc19287" </w:instrText>
      </w:r>
      <w:r>
        <w:rPr>
          <w:color w:val="auto"/>
          <w:highlight w:val="none"/>
        </w:rPr>
        <w:fldChar w:fldCharType="separate"/>
      </w:r>
      <w:r>
        <w:rPr>
          <w:rFonts w:hint="eastAsia" w:ascii="微软雅黑" w:hAnsi="微软雅黑" w:eastAsia="微软雅黑" w:cs="微软雅黑"/>
          <w:color w:val="auto"/>
          <w:szCs w:val="28"/>
          <w:highlight w:val="none"/>
        </w:rPr>
        <w:t>七、其他</w:t>
      </w:r>
      <w:r>
        <w:rPr>
          <w:color w:val="auto"/>
          <w:highlight w:val="none"/>
        </w:rPr>
        <w:tab/>
      </w:r>
      <w:r>
        <w:rPr>
          <w:color w:val="auto"/>
          <w:highlight w:val="none"/>
        </w:rPr>
        <w:fldChar w:fldCharType="begin"/>
      </w:r>
      <w:r>
        <w:rPr>
          <w:color w:val="auto"/>
          <w:highlight w:val="none"/>
        </w:rPr>
        <w:instrText xml:space="preserve"> PAGEREF _Toc19287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pPr>
        <w:pStyle w:val="12"/>
        <w:tabs>
          <w:tab w:val="right" w:leader="dot" w:pos="9412"/>
        </w:tabs>
        <w:ind w:left="560"/>
        <w:rPr>
          <w:color w:val="auto"/>
          <w:highlight w:val="none"/>
        </w:rPr>
      </w:pPr>
      <w:r>
        <w:rPr>
          <w:color w:val="auto"/>
          <w:highlight w:val="none"/>
        </w:rPr>
        <w:fldChar w:fldCharType="begin"/>
      </w:r>
      <w:r>
        <w:rPr>
          <w:color w:val="auto"/>
          <w:highlight w:val="none"/>
        </w:rPr>
        <w:instrText xml:space="preserve"> HYPERLINK \l "_Toc1620" </w:instrText>
      </w:r>
      <w:r>
        <w:rPr>
          <w:color w:val="auto"/>
          <w:highlight w:val="none"/>
        </w:rPr>
        <w:fldChar w:fldCharType="separate"/>
      </w:r>
      <w:r>
        <w:rPr>
          <w:rFonts w:hint="eastAsia" w:ascii="微软雅黑" w:hAnsi="微软雅黑" w:eastAsia="微软雅黑" w:cs="微软雅黑"/>
          <w:color w:val="auto"/>
          <w:szCs w:val="30"/>
          <w:highlight w:val="none"/>
        </w:rPr>
        <w:t>第三篇  竞选程序及方法、评审标准、无效响应和</w:t>
      </w:r>
      <w:r>
        <w:rPr>
          <w:rFonts w:hint="eastAsia" w:ascii="微软雅黑" w:hAnsi="微软雅黑" w:eastAsia="微软雅黑" w:cs="微软雅黑"/>
          <w:color w:val="auto"/>
          <w:szCs w:val="36"/>
          <w:highlight w:val="none"/>
        </w:rPr>
        <w:t>采购终止</w:t>
      </w:r>
      <w:r>
        <w:rPr>
          <w:color w:val="auto"/>
          <w:highlight w:val="none"/>
        </w:rPr>
        <w:tab/>
      </w:r>
      <w:r>
        <w:rPr>
          <w:color w:val="auto"/>
          <w:highlight w:val="none"/>
        </w:rPr>
        <w:fldChar w:fldCharType="begin"/>
      </w:r>
      <w:r>
        <w:rPr>
          <w:color w:val="auto"/>
          <w:highlight w:val="none"/>
        </w:rPr>
        <w:instrText xml:space="preserve"> PAGEREF _Toc1620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"_Toc10989" </w:instrText>
      </w:r>
      <w:r>
        <w:rPr>
          <w:color w:val="auto"/>
          <w:highlight w:val="none"/>
        </w:rPr>
        <w:fldChar w:fldCharType="separate"/>
      </w:r>
      <w:r>
        <w:rPr>
          <w:rFonts w:hint="eastAsia" w:ascii="微软雅黑" w:hAnsi="微软雅黑" w:eastAsia="微软雅黑" w:cs="微软雅黑"/>
          <w:color w:val="auto"/>
          <w:szCs w:val="24"/>
          <w:highlight w:val="none"/>
        </w:rPr>
        <w:t>一、竞选程序及方法</w:t>
      </w:r>
      <w:r>
        <w:rPr>
          <w:color w:val="auto"/>
          <w:highlight w:val="none"/>
        </w:rPr>
        <w:tab/>
      </w:r>
      <w:r>
        <w:rPr>
          <w:color w:val="auto"/>
          <w:highlight w:val="none"/>
        </w:rPr>
        <w:fldChar w:fldCharType="begin"/>
      </w:r>
      <w:r>
        <w:rPr>
          <w:color w:val="auto"/>
          <w:highlight w:val="none"/>
        </w:rPr>
        <w:instrText xml:space="preserve"> PAGEREF _Toc10989 \h </w:instrText>
      </w:r>
      <w:r>
        <w:rPr>
          <w:color w:val="auto"/>
          <w:highlight w:val="none"/>
        </w:rPr>
        <w:fldChar w:fldCharType="separate"/>
      </w:r>
      <w:r>
        <w:rPr>
          <w:color w:val="auto"/>
          <w:highlight w:val="none"/>
        </w:rPr>
        <w:t>- 17 -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"_Toc1763" </w:instrText>
      </w:r>
      <w:r>
        <w:rPr>
          <w:color w:val="auto"/>
          <w:highlight w:val="none"/>
        </w:rPr>
        <w:fldChar w:fldCharType="separate"/>
      </w:r>
      <w:r>
        <w:rPr>
          <w:rFonts w:hint="eastAsia" w:ascii="微软雅黑" w:hAnsi="微软雅黑" w:eastAsia="微软雅黑" w:cs="微软雅黑"/>
          <w:color w:val="auto"/>
          <w:szCs w:val="24"/>
          <w:highlight w:val="none"/>
        </w:rPr>
        <w:t>二、评审标准</w:t>
      </w:r>
      <w:r>
        <w:rPr>
          <w:color w:val="auto"/>
          <w:highlight w:val="none"/>
        </w:rPr>
        <w:tab/>
      </w:r>
      <w:r>
        <w:rPr>
          <w:color w:val="auto"/>
          <w:highlight w:val="none"/>
        </w:rPr>
        <w:fldChar w:fldCharType="begin"/>
      </w:r>
      <w:r>
        <w:rPr>
          <w:color w:val="auto"/>
          <w:highlight w:val="none"/>
        </w:rPr>
        <w:instrText xml:space="preserve"> PAGEREF _Toc1763 \h </w:instrText>
      </w:r>
      <w:r>
        <w:rPr>
          <w:color w:val="auto"/>
          <w:highlight w:val="none"/>
        </w:rPr>
        <w:fldChar w:fldCharType="separate"/>
      </w:r>
      <w:r>
        <w:rPr>
          <w:color w:val="auto"/>
          <w:highlight w:val="none"/>
        </w:rPr>
        <w:t>- 19 -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"_Toc30319" </w:instrText>
      </w:r>
      <w:r>
        <w:rPr>
          <w:color w:val="auto"/>
          <w:highlight w:val="none"/>
        </w:rPr>
        <w:fldChar w:fldCharType="separate"/>
      </w:r>
      <w:r>
        <w:rPr>
          <w:rFonts w:hint="eastAsia" w:ascii="微软雅黑" w:hAnsi="微软雅黑" w:eastAsia="微软雅黑" w:cs="微软雅黑"/>
          <w:color w:val="auto"/>
          <w:szCs w:val="24"/>
          <w:highlight w:val="none"/>
        </w:rPr>
        <w:t>三、无效响应</w:t>
      </w:r>
      <w:r>
        <w:rPr>
          <w:color w:val="auto"/>
          <w:highlight w:val="none"/>
        </w:rPr>
        <w:tab/>
      </w:r>
      <w:r>
        <w:rPr>
          <w:color w:val="auto"/>
          <w:highlight w:val="none"/>
        </w:rPr>
        <w:fldChar w:fldCharType="begin"/>
      </w:r>
      <w:r>
        <w:rPr>
          <w:color w:val="auto"/>
          <w:highlight w:val="none"/>
        </w:rPr>
        <w:instrText xml:space="preserve"> PAGEREF _Toc30319 \h </w:instrText>
      </w:r>
      <w:r>
        <w:rPr>
          <w:color w:val="auto"/>
          <w:highlight w:val="none"/>
        </w:rPr>
        <w:fldChar w:fldCharType="separate"/>
      </w:r>
      <w:r>
        <w:rPr>
          <w:color w:val="auto"/>
          <w:highlight w:val="none"/>
        </w:rPr>
        <w:t>- 21 -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"_Toc15215" </w:instrText>
      </w:r>
      <w:r>
        <w:rPr>
          <w:color w:val="auto"/>
          <w:highlight w:val="none"/>
        </w:rPr>
        <w:fldChar w:fldCharType="separate"/>
      </w:r>
      <w:r>
        <w:rPr>
          <w:rFonts w:hint="eastAsia" w:ascii="微软雅黑" w:hAnsi="微软雅黑" w:eastAsia="微软雅黑" w:cs="微软雅黑"/>
          <w:color w:val="auto"/>
          <w:szCs w:val="24"/>
          <w:highlight w:val="none"/>
        </w:rPr>
        <w:t>四、采购终止</w:t>
      </w:r>
      <w:r>
        <w:rPr>
          <w:color w:val="auto"/>
          <w:highlight w:val="none"/>
        </w:rPr>
        <w:tab/>
      </w:r>
      <w:r>
        <w:rPr>
          <w:color w:val="auto"/>
          <w:highlight w:val="none"/>
        </w:rPr>
        <w:fldChar w:fldCharType="begin"/>
      </w:r>
      <w:r>
        <w:rPr>
          <w:color w:val="auto"/>
          <w:highlight w:val="none"/>
        </w:rPr>
        <w:instrText xml:space="preserve"> PAGEREF _Toc15215 \h </w:instrText>
      </w:r>
      <w:r>
        <w:rPr>
          <w:color w:val="auto"/>
          <w:highlight w:val="none"/>
        </w:rPr>
        <w:fldChar w:fldCharType="separate"/>
      </w:r>
      <w:r>
        <w:rPr>
          <w:color w:val="auto"/>
          <w:highlight w:val="none"/>
        </w:rPr>
        <w:t>- 21 -</w:t>
      </w:r>
      <w:r>
        <w:rPr>
          <w:color w:val="auto"/>
          <w:highlight w:val="none"/>
        </w:rPr>
        <w:fldChar w:fldCharType="end"/>
      </w:r>
      <w:r>
        <w:rPr>
          <w:color w:val="auto"/>
          <w:highlight w:val="none"/>
        </w:rPr>
        <w:fldChar w:fldCharType="end"/>
      </w:r>
    </w:p>
    <w:p>
      <w:pPr>
        <w:pStyle w:val="12"/>
        <w:tabs>
          <w:tab w:val="right" w:leader="dot" w:pos="9412"/>
        </w:tabs>
        <w:ind w:left="560"/>
        <w:rPr>
          <w:color w:val="auto"/>
          <w:highlight w:val="none"/>
        </w:rPr>
      </w:pPr>
      <w:r>
        <w:rPr>
          <w:color w:val="auto"/>
          <w:highlight w:val="none"/>
        </w:rPr>
        <w:fldChar w:fldCharType="begin"/>
      </w:r>
      <w:r>
        <w:rPr>
          <w:color w:val="auto"/>
          <w:highlight w:val="none"/>
        </w:rPr>
        <w:instrText xml:space="preserve"> HYPERLINK \l "_Toc6069" </w:instrText>
      </w:r>
      <w:r>
        <w:rPr>
          <w:color w:val="auto"/>
          <w:highlight w:val="none"/>
        </w:rPr>
        <w:fldChar w:fldCharType="separate"/>
      </w:r>
      <w:r>
        <w:rPr>
          <w:rFonts w:hint="eastAsia" w:ascii="微软雅黑" w:hAnsi="微软雅黑" w:eastAsia="微软雅黑" w:cs="微软雅黑"/>
          <w:color w:val="auto"/>
          <w:szCs w:val="30"/>
          <w:highlight w:val="none"/>
        </w:rPr>
        <w:t>第四篇  代理机构须知</w:t>
      </w:r>
      <w:r>
        <w:rPr>
          <w:color w:val="auto"/>
          <w:highlight w:val="none"/>
        </w:rPr>
        <w:tab/>
      </w:r>
      <w:r>
        <w:rPr>
          <w:color w:val="auto"/>
          <w:highlight w:val="none"/>
        </w:rPr>
        <w:fldChar w:fldCharType="begin"/>
      </w:r>
      <w:r>
        <w:rPr>
          <w:color w:val="auto"/>
          <w:highlight w:val="none"/>
        </w:rPr>
        <w:instrText xml:space="preserve"> PAGEREF _Toc6069 \h </w:instrText>
      </w:r>
      <w:r>
        <w:rPr>
          <w:color w:val="auto"/>
          <w:highlight w:val="none"/>
        </w:rPr>
        <w:fldChar w:fldCharType="separate"/>
      </w:r>
      <w:r>
        <w:rPr>
          <w:color w:val="auto"/>
          <w:highlight w:val="none"/>
        </w:rPr>
        <w:t>- 23 -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"_Toc3716" </w:instrText>
      </w:r>
      <w:r>
        <w:rPr>
          <w:color w:val="auto"/>
          <w:highlight w:val="none"/>
        </w:rPr>
        <w:fldChar w:fldCharType="separate"/>
      </w:r>
      <w:r>
        <w:rPr>
          <w:rFonts w:hint="eastAsia" w:ascii="微软雅黑" w:hAnsi="微软雅黑" w:eastAsia="微软雅黑" w:cs="微软雅黑"/>
          <w:color w:val="auto"/>
          <w:szCs w:val="24"/>
          <w:highlight w:val="none"/>
        </w:rPr>
        <w:t>一、比选费用</w:t>
      </w:r>
      <w:r>
        <w:rPr>
          <w:color w:val="auto"/>
          <w:highlight w:val="none"/>
        </w:rPr>
        <w:tab/>
      </w:r>
      <w:r>
        <w:rPr>
          <w:color w:val="auto"/>
          <w:highlight w:val="none"/>
        </w:rPr>
        <w:fldChar w:fldCharType="begin"/>
      </w:r>
      <w:r>
        <w:rPr>
          <w:color w:val="auto"/>
          <w:highlight w:val="none"/>
        </w:rPr>
        <w:instrText xml:space="preserve"> PAGEREF _Toc3716 \h </w:instrText>
      </w:r>
      <w:r>
        <w:rPr>
          <w:color w:val="auto"/>
          <w:highlight w:val="none"/>
        </w:rPr>
        <w:fldChar w:fldCharType="separate"/>
      </w:r>
      <w:r>
        <w:rPr>
          <w:color w:val="auto"/>
          <w:highlight w:val="none"/>
        </w:rPr>
        <w:t>- 23 -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"_Toc7904" </w:instrText>
      </w:r>
      <w:r>
        <w:rPr>
          <w:color w:val="auto"/>
          <w:highlight w:val="none"/>
        </w:rPr>
        <w:fldChar w:fldCharType="separate"/>
      </w:r>
      <w:r>
        <w:rPr>
          <w:rFonts w:hint="eastAsia" w:ascii="微软雅黑" w:hAnsi="微软雅黑" w:eastAsia="微软雅黑" w:cs="微软雅黑"/>
          <w:color w:val="auto"/>
          <w:szCs w:val="24"/>
          <w:highlight w:val="none"/>
        </w:rPr>
        <w:t>二、竞争性比选文件</w:t>
      </w:r>
      <w:r>
        <w:rPr>
          <w:color w:val="auto"/>
          <w:highlight w:val="none"/>
        </w:rPr>
        <w:tab/>
      </w:r>
      <w:r>
        <w:rPr>
          <w:color w:val="auto"/>
          <w:highlight w:val="none"/>
        </w:rPr>
        <w:fldChar w:fldCharType="begin"/>
      </w:r>
      <w:r>
        <w:rPr>
          <w:color w:val="auto"/>
          <w:highlight w:val="none"/>
        </w:rPr>
        <w:instrText xml:space="preserve"> PAGEREF _Toc7904 \h </w:instrText>
      </w:r>
      <w:r>
        <w:rPr>
          <w:color w:val="auto"/>
          <w:highlight w:val="none"/>
        </w:rPr>
        <w:fldChar w:fldCharType="separate"/>
      </w:r>
      <w:r>
        <w:rPr>
          <w:color w:val="auto"/>
          <w:highlight w:val="none"/>
        </w:rPr>
        <w:t>- 23 -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"_Toc2145" </w:instrText>
      </w:r>
      <w:r>
        <w:rPr>
          <w:color w:val="auto"/>
          <w:highlight w:val="none"/>
        </w:rPr>
        <w:fldChar w:fldCharType="separate"/>
      </w:r>
      <w:r>
        <w:rPr>
          <w:rFonts w:hint="eastAsia" w:ascii="微软雅黑" w:hAnsi="微软雅黑" w:eastAsia="微软雅黑" w:cs="微软雅黑"/>
          <w:color w:val="auto"/>
          <w:szCs w:val="24"/>
          <w:highlight w:val="none"/>
        </w:rPr>
        <w:t>三、比选要求</w:t>
      </w:r>
      <w:r>
        <w:rPr>
          <w:color w:val="auto"/>
          <w:highlight w:val="none"/>
        </w:rPr>
        <w:tab/>
      </w:r>
      <w:r>
        <w:rPr>
          <w:color w:val="auto"/>
          <w:highlight w:val="none"/>
        </w:rPr>
        <w:fldChar w:fldCharType="begin"/>
      </w:r>
      <w:r>
        <w:rPr>
          <w:color w:val="auto"/>
          <w:highlight w:val="none"/>
        </w:rPr>
        <w:instrText xml:space="preserve"> PAGEREF _Toc2145 \h </w:instrText>
      </w:r>
      <w:r>
        <w:rPr>
          <w:color w:val="auto"/>
          <w:highlight w:val="none"/>
        </w:rPr>
        <w:fldChar w:fldCharType="separate"/>
      </w:r>
      <w:r>
        <w:rPr>
          <w:color w:val="auto"/>
          <w:highlight w:val="none"/>
        </w:rPr>
        <w:t>- 23 -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"_Toc20820" </w:instrText>
      </w:r>
      <w:r>
        <w:rPr>
          <w:color w:val="auto"/>
          <w:highlight w:val="none"/>
        </w:rPr>
        <w:fldChar w:fldCharType="separate"/>
      </w:r>
      <w:r>
        <w:rPr>
          <w:rFonts w:hint="eastAsia" w:ascii="微软雅黑" w:hAnsi="微软雅黑" w:eastAsia="微软雅黑" w:cs="微软雅黑"/>
          <w:color w:val="auto"/>
          <w:szCs w:val="24"/>
          <w:highlight w:val="none"/>
        </w:rPr>
        <w:t>四、成交代理机构的确认和变更</w:t>
      </w:r>
      <w:r>
        <w:rPr>
          <w:color w:val="auto"/>
          <w:highlight w:val="none"/>
        </w:rPr>
        <w:tab/>
      </w:r>
      <w:r>
        <w:rPr>
          <w:color w:val="auto"/>
          <w:highlight w:val="none"/>
        </w:rPr>
        <w:fldChar w:fldCharType="begin"/>
      </w:r>
      <w:r>
        <w:rPr>
          <w:color w:val="auto"/>
          <w:highlight w:val="none"/>
        </w:rPr>
        <w:instrText xml:space="preserve"> PAGEREF _Toc20820 \h </w:instrText>
      </w:r>
      <w:r>
        <w:rPr>
          <w:color w:val="auto"/>
          <w:highlight w:val="none"/>
        </w:rPr>
        <w:fldChar w:fldCharType="separate"/>
      </w:r>
      <w:r>
        <w:rPr>
          <w:color w:val="auto"/>
          <w:highlight w:val="none"/>
        </w:rPr>
        <w:t>- 24 -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"_Toc9867" </w:instrText>
      </w:r>
      <w:r>
        <w:rPr>
          <w:color w:val="auto"/>
          <w:highlight w:val="none"/>
        </w:rPr>
        <w:fldChar w:fldCharType="separate"/>
      </w:r>
      <w:r>
        <w:rPr>
          <w:rFonts w:hint="eastAsia" w:ascii="微软雅黑" w:hAnsi="微软雅黑" w:eastAsia="微软雅黑" w:cs="微软雅黑"/>
          <w:color w:val="auto"/>
          <w:szCs w:val="24"/>
          <w:highlight w:val="none"/>
        </w:rPr>
        <w:t>五、成交通知</w:t>
      </w:r>
      <w:r>
        <w:rPr>
          <w:color w:val="auto"/>
          <w:highlight w:val="none"/>
        </w:rPr>
        <w:tab/>
      </w:r>
      <w:r>
        <w:rPr>
          <w:color w:val="auto"/>
          <w:highlight w:val="none"/>
        </w:rPr>
        <w:fldChar w:fldCharType="begin"/>
      </w:r>
      <w:r>
        <w:rPr>
          <w:color w:val="auto"/>
          <w:highlight w:val="none"/>
        </w:rPr>
        <w:instrText xml:space="preserve"> PAGEREF _Toc9867 \h </w:instrText>
      </w:r>
      <w:r>
        <w:rPr>
          <w:color w:val="auto"/>
          <w:highlight w:val="none"/>
        </w:rPr>
        <w:fldChar w:fldCharType="separate"/>
      </w:r>
      <w:r>
        <w:rPr>
          <w:color w:val="auto"/>
          <w:highlight w:val="none"/>
        </w:rPr>
        <w:t>- 24 -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"_Toc5478" </w:instrText>
      </w:r>
      <w:r>
        <w:rPr>
          <w:color w:val="auto"/>
          <w:highlight w:val="none"/>
        </w:rPr>
        <w:fldChar w:fldCharType="separate"/>
      </w:r>
      <w:r>
        <w:rPr>
          <w:rFonts w:hint="eastAsia" w:ascii="微软雅黑" w:hAnsi="微软雅黑" w:eastAsia="微软雅黑" w:cs="微软雅黑"/>
          <w:color w:val="auto"/>
          <w:szCs w:val="24"/>
          <w:highlight w:val="none"/>
        </w:rPr>
        <w:t>六、签订合同</w:t>
      </w:r>
      <w:r>
        <w:rPr>
          <w:color w:val="auto"/>
          <w:highlight w:val="none"/>
        </w:rPr>
        <w:tab/>
      </w:r>
      <w:r>
        <w:rPr>
          <w:color w:val="auto"/>
          <w:highlight w:val="none"/>
        </w:rPr>
        <w:fldChar w:fldCharType="begin"/>
      </w:r>
      <w:r>
        <w:rPr>
          <w:color w:val="auto"/>
          <w:highlight w:val="none"/>
        </w:rPr>
        <w:instrText xml:space="preserve"> PAGEREF _Toc5478 \h </w:instrText>
      </w:r>
      <w:r>
        <w:rPr>
          <w:color w:val="auto"/>
          <w:highlight w:val="none"/>
        </w:rPr>
        <w:fldChar w:fldCharType="separate"/>
      </w:r>
      <w:r>
        <w:rPr>
          <w:color w:val="auto"/>
          <w:highlight w:val="none"/>
        </w:rPr>
        <w:t>- 24 -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"_Toc16706" </w:instrText>
      </w:r>
      <w:r>
        <w:rPr>
          <w:color w:val="auto"/>
          <w:highlight w:val="none"/>
        </w:rPr>
        <w:fldChar w:fldCharType="separate"/>
      </w:r>
      <w:r>
        <w:rPr>
          <w:rFonts w:hint="eastAsia" w:ascii="微软雅黑" w:hAnsi="微软雅黑" w:eastAsia="微软雅黑" w:cs="微软雅黑"/>
          <w:color w:val="auto"/>
          <w:szCs w:val="24"/>
          <w:highlight w:val="none"/>
        </w:rPr>
        <w:t>一、响应文件封面</w:t>
      </w:r>
      <w:r>
        <w:rPr>
          <w:color w:val="auto"/>
          <w:highlight w:val="none"/>
        </w:rPr>
        <w:tab/>
      </w:r>
      <w:r>
        <w:rPr>
          <w:color w:val="auto"/>
          <w:highlight w:val="none"/>
        </w:rPr>
        <w:fldChar w:fldCharType="begin"/>
      </w:r>
      <w:r>
        <w:rPr>
          <w:color w:val="auto"/>
          <w:highlight w:val="none"/>
        </w:rPr>
        <w:instrText xml:space="preserve"> PAGEREF _Toc16706 \h </w:instrText>
      </w:r>
      <w:r>
        <w:rPr>
          <w:color w:val="auto"/>
          <w:highlight w:val="none"/>
        </w:rPr>
        <w:fldChar w:fldCharType="separate"/>
      </w:r>
      <w:r>
        <w:rPr>
          <w:color w:val="auto"/>
          <w:highlight w:val="none"/>
        </w:rPr>
        <w:t>- 27 -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"_Toc18577" </w:instrText>
      </w:r>
      <w:r>
        <w:rPr>
          <w:color w:val="auto"/>
          <w:highlight w:val="none"/>
        </w:rPr>
        <w:fldChar w:fldCharType="separate"/>
      </w:r>
      <w:r>
        <w:rPr>
          <w:rFonts w:hint="eastAsia" w:ascii="微软雅黑" w:hAnsi="微软雅黑" w:eastAsia="微软雅黑" w:cs="微软雅黑"/>
          <w:color w:val="auto"/>
          <w:szCs w:val="24"/>
          <w:highlight w:val="none"/>
        </w:rPr>
        <w:t>二、经济部分</w:t>
      </w:r>
      <w:r>
        <w:rPr>
          <w:color w:val="auto"/>
          <w:highlight w:val="none"/>
        </w:rPr>
        <w:tab/>
      </w:r>
      <w:r>
        <w:rPr>
          <w:color w:val="auto"/>
          <w:highlight w:val="none"/>
        </w:rPr>
        <w:fldChar w:fldCharType="begin"/>
      </w:r>
      <w:r>
        <w:rPr>
          <w:color w:val="auto"/>
          <w:highlight w:val="none"/>
        </w:rPr>
        <w:instrText xml:space="preserve"> PAGEREF _Toc18577 \h </w:instrText>
      </w:r>
      <w:r>
        <w:rPr>
          <w:color w:val="auto"/>
          <w:highlight w:val="none"/>
        </w:rPr>
        <w:fldChar w:fldCharType="separate"/>
      </w:r>
      <w:r>
        <w:rPr>
          <w:color w:val="auto"/>
          <w:highlight w:val="none"/>
        </w:rPr>
        <w:t>- 28 -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"_Toc30062" </w:instrText>
      </w:r>
      <w:r>
        <w:rPr>
          <w:color w:val="auto"/>
          <w:highlight w:val="none"/>
        </w:rPr>
        <w:fldChar w:fldCharType="separate"/>
      </w:r>
      <w:r>
        <w:rPr>
          <w:rFonts w:hint="eastAsia" w:ascii="微软雅黑" w:hAnsi="微软雅黑" w:eastAsia="微软雅黑" w:cs="微软雅黑"/>
          <w:color w:val="auto"/>
          <w:szCs w:val="24"/>
          <w:highlight w:val="none"/>
        </w:rPr>
        <w:t>三、服务部分</w:t>
      </w:r>
      <w:r>
        <w:rPr>
          <w:color w:val="auto"/>
          <w:highlight w:val="none"/>
        </w:rPr>
        <w:tab/>
      </w:r>
      <w:r>
        <w:rPr>
          <w:color w:val="auto"/>
          <w:highlight w:val="none"/>
        </w:rPr>
        <w:fldChar w:fldCharType="begin"/>
      </w:r>
      <w:r>
        <w:rPr>
          <w:color w:val="auto"/>
          <w:highlight w:val="none"/>
        </w:rPr>
        <w:instrText xml:space="preserve"> PAGEREF _Toc30062 \h </w:instrText>
      </w:r>
      <w:r>
        <w:rPr>
          <w:color w:val="auto"/>
          <w:highlight w:val="none"/>
        </w:rPr>
        <w:fldChar w:fldCharType="separate"/>
      </w:r>
      <w:r>
        <w:rPr>
          <w:color w:val="auto"/>
          <w:highlight w:val="none"/>
        </w:rPr>
        <w:t>- 29 -</w:t>
      </w:r>
      <w:r>
        <w:rPr>
          <w:color w:val="auto"/>
          <w:highlight w:val="none"/>
        </w:rPr>
        <w:fldChar w:fldCharType="end"/>
      </w:r>
      <w:r>
        <w:rPr>
          <w:color w:val="auto"/>
          <w:highlight w:val="none"/>
        </w:rPr>
        <w:fldChar w:fldCharType="end"/>
      </w:r>
    </w:p>
    <w:p>
      <w:pPr>
        <w:pStyle w:val="6"/>
        <w:tabs>
          <w:tab w:val="right" w:leader="dot" w:pos="9412"/>
        </w:tabs>
        <w:ind w:left="1120"/>
        <w:rPr>
          <w:color w:val="auto"/>
          <w:highlight w:val="none"/>
        </w:rPr>
      </w:pPr>
      <w:r>
        <w:rPr>
          <w:color w:val="auto"/>
          <w:highlight w:val="none"/>
        </w:rPr>
        <w:fldChar w:fldCharType="begin"/>
      </w:r>
      <w:r>
        <w:rPr>
          <w:color w:val="auto"/>
          <w:highlight w:val="none"/>
        </w:rPr>
        <w:instrText xml:space="preserve"> HYPERLINK \l "_Toc15402" </w:instrText>
      </w:r>
      <w:r>
        <w:rPr>
          <w:color w:val="auto"/>
          <w:highlight w:val="none"/>
        </w:rPr>
        <w:fldChar w:fldCharType="separate"/>
      </w:r>
      <w:r>
        <w:rPr>
          <w:rFonts w:hint="eastAsia" w:ascii="微软雅黑" w:hAnsi="微软雅黑" w:eastAsia="微软雅黑" w:cs="微软雅黑"/>
          <w:color w:val="auto"/>
          <w:szCs w:val="24"/>
          <w:highlight w:val="none"/>
        </w:rPr>
        <w:t>四、资格条件及其他</w:t>
      </w:r>
      <w:r>
        <w:rPr>
          <w:color w:val="auto"/>
          <w:highlight w:val="none"/>
        </w:rPr>
        <w:tab/>
      </w:r>
      <w:r>
        <w:rPr>
          <w:color w:val="auto"/>
          <w:highlight w:val="none"/>
        </w:rPr>
        <w:fldChar w:fldCharType="begin"/>
      </w:r>
      <w:r>
        <w:rPr>
          <w:color w:val="auto"/>
          <w:highlight w:val="none"/>
        </w:rPr>
        <w:instrText xml:space="preserve"> PAGEREF _Toc15402 \h </w:instrText>
      </w:r>
      <w:r>
        <w:rPr>
          <w:color w:val="auto"/>
          <w:highlight w:val="none"/>
        </w:rPr>
        <w:fldChar w:fldCharType="separate"/>
      </w:r>
      <w:r>
        <w:rPr>
          <w:color w:val="auto"/>
          <w:highlight w:val="none"/>
        </w:rPr>
        <w:t>- 30 -</w:t>
      </w:r>
      <w:r>
        <w:rPr>
          <w:color w:val="auto"/>
          <w:highlight w:val="none"/>
        </w:rPr>
        <w:fldChar w:fldCharType="end"/>
      </w:r>
      <w:r>
        <w:rPr>
          <w:color w:val="auto"/>
          <w:highlight w:val="none"/>
        </w:rPr>
        <w:fldChar w:fldCharType="end"/>
      </w:r>
    </w:p>
    <w:p>
      <w:pPr>
        <w:pStyle w:val="12"/>
        <w:tabs>
          <w:tab w:val="right" w:leader="dot" w:pos="9402"/>
        </w:tabs>
        <w:spacing w:line="480" w:lineRule="exact"/>
        <w:ind w:left="560"/>
        <w:jc w:val="center"/>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fldChar w:fldCharType="end"/>
      </w:r>
    </w:p>
    <w:p>
      <w:pPr>
        <w:rPr>
          <w:color w:val="auto"/>
          <w:highlight w:val="none"/>
        </w:rPr>
      </w:pPr>
    </w:p>
    <w:p>
      <w:pPr>
        <w:rPr>
          <w:color w:val="auto"/>
          <w:highlight w:val="none"/>
        </w:rPr>
      </w:pPr>
    </w:p>
    <w:p>
      <w:pPr>
        <w:tabs>
          <w:tab w:val="left" w:pos="7023"/>
        </w:tabs>
        <w:jc w:val="left"/>
        <w:rPr>
          <w:color w:val="auto"/>
          <w:highlight w:val="none"/>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pgNumType w:fmt="numberInDash" w:start="1"/>
          <w:cols w:space="720" w:num="1"/>
          <w:docGrid w:linePitch="380" w:charSpace="-5735"/>
        </w:sectPr>
      </w:pPr>
      <w:r>
        <w:rPr>
          <w:rFonts w:hint="eastAsia"/>
          <w:color w:val="auto"/>
          <w:highlight w:val="none"/>
        </w:rPr>
        <w:tab/>
      </w:r>
    </w:p>
    <w:p>
      <w:pPr>
        <w:pStyle w:val="2"/>
        <w:spacing w:line="360" w:lineRule="auto"/>
        <w:jc w:val="center"/>
        <w:rPr>
          <w:rFonts w:hint="eastAsia" w:ascii="微软雅黑" w:hAnsi="微软雅黑" w:eastAsia="微软雅黑" w:cs="微软雅黑"/>
          <w:b w:val="0"/>
          <w:color w:val="auto"/>
          <w:szCs w:val="30"/>
          <w:highlight w:val="none"/>
        </w:rPr>
      </w:pPr>
      <w:bookmarkStart w:id="0" w:name="_Toc20184"/>
      <w:bookmarkStart w:id="1" w:name="_Toc11641050"/>
      <w:bookmarkStart w:id="2" w:name="_Toc12789052"/>
      <w:r>
        <w:rPr>
          <w:rFonts w:hint="eastAsia" w:ascii="微软雅黑" w:hAnsi="微软雅黑" w:eastAsia="微软雅黑" w:cs="微软雅黑"/>
          <w:b w:val="0"/>
          <w:color w:val="auto"/>
          <w:sz w:val="36"/>
          <w:szCs w:val="30"/>
          <w:highlight w:val="none"/>
        </w:rPr>
        <w:t>第一篇  比选邀请书</w:t>
      </w:r>
      <w:bookmarkEnd w:id="0"/>
      <w:bookmarkEnd w:id="1"/>
      <w:bookmarkEnd w:id="2"/>
    </w:p>
    <w:p>
      <w:pPr>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为了公开、公平、公正、高效地完成重庆两江新区人民医院采购项目招标代理服务工作，我单位特进行竞争性比选,欢迎各代理机构参与比选。</w:t>
      </w:r>
    </w:p>
    <w:p>
      <w:pPr>
        <w:pStyle w:val="3"/>
        <w:spacing w:line="400" w:lineRule="exact"/>
        <w:rPr>
          <w:rFonts w:hint="eastAsia" w:ascii="微软雅黑" w:hAnsi="微软雅黑" w:eastAsia="微软雅黑" w:cs="微软雅黑"/>
          <w:color w:val="auto"/>
          <w:sz w:val="24"/>
          <w:szCs w:val="24"/>
          <w:highlight w:val="none"/>
        </w:rPr>
      </w:pPr>
      <w:bookmarkStart w:id="3" w:name="_Toc16818"/>
      <w:bookmarkStart w:id="4" w:name="_Toc317775175"/>
      <w:bookmarkStart w:id="5" w:name="_Toc313893526"/>
      <w:r>
        <w:rPr>
          <w:rFonts w:hint="eastAsia" w:ascii="微软雅黑" w:hAnsi="微软雅黑" w:eastAsia="微软雅黑" w:cs="微软雅黑"/>
          <w:color w:val="auto"/>
          <w:sz w:val="24"/>
          <w:szCs w:val="24"/>
          <w:highlight w:val="none"/>
        </w:rPr>
        <w:t>一、竞争性比选内容</w:t>
      </w:r>
      <w:bookmarkEnd w:id="3"/>
      <w:bookmarkEnd w:id="4"/>
      <w:bookmarkEnd w:id="5"/>
    </w:p>
    <w:tbl>
      <w:tblPr>
        <w:tblStyle w:val="14"/>
        <w:tblpPr w:leftFromText="180" w:rightFromText="180" w:vertAnchor="text" w:horzAnchor="page" w:tblpXSpec="center" w:tblpY="166"/>
        <w:tblOverlap w:val="never"/>
        <w:tblW w:w="10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708"/>
        <w:gridCol w:w="1230"/>
        <w:gridCol w:w="2561"/>
        <w:gridCol w:w="1500"/>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1326" w:type="dxa"/>
            <w:tcBorders>
              <w:top w:val="single" w:color="auto" w:sz="4" w:space="0"/>
              <w:left w:val="single" w:color="auto" w:sz="4" w:space="0"/>
              <w:right w:val="single" w:color="auto" w:sz="4" w:space="0"/>
            </w:tcBorders>
            <w:vAlign w:val="center"/>
          </w:tcPr>
          <w:p>
            <w:pPr>
              <w:widowControl/>
              <w:jc w:val="center"/>
              <w:rPr>
                <w:rFonts w:hint="eastAsia" w:ascii="微软雅黑" w:hAnsi="微软雅黑" w:eastAsia="微软雅黑" w:cs="微软雅黑"/>
                <w:b/>
                <w:bCs/>
                <w:color w:val="auto"/>
                <w:kern w:val="0"/>
                <w:sz w:val="21"/>
                <w:szCs w:val="21"/>
                <w:highlight w:val="none"/>
              </w:rPr>
            </w:pPr>
            <w:bookmarkStart w:id="6" w:name="_Toc373860293"/>
            <w:bookmarkStart w:id="7" w:name="_Toc317775178"/>
            <w:r>
              <w:rPr>
                <w:rFonts w:hint="eastAsia" w:ascii="微软雅黑" w:hAnsi="微软雅黑" w:eastAsia="微软雅黑" w:cs="微软雅黑"/>
                <w:b/>
                <w:bCs/>
                <w:color w:val="auto"/>
                <w:kern w:val="0"/>
                <w:sz w:val="21"/>
                <w:szCs w:val="21"/>
                <w:highlight w:val="none"/>
              </w:rPr>
              <w:t>项目名称</w:t>
            </w:r>
          </w:p>
        </w:tc>
        <w:tc>
          <w:tcPr>
            <w:tcW w:w="1708"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color w:val="auto"/>
                <w:kern w:val="0"/>
                <w:sz w:val="21"/>
                <w:szCs w:val="21"/>
                <w:highlight w:val="none"/>
              </w:rPr>
              <w:t>最高限价</w:t>
            </w:r>
          </w:p>
        </w:tc>
        <w:tc>
          <w:tcPr>
            <w:tcW w:w="1230"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color w:val="auto"/>
                <w:kern w:val="0"/>
                <w:sz w:val="21"/>
                <w:szCs w:val="21"/>
                <w:highlight w:val="none"/>
              </w:rPr>
              <w:t>成交数量</w:t>
            </w:r>
          </w:p>
        </w:tc>
        <w:tc>
          <w:tcPr>
            <w:tcW w:w="2561"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微软雅黑" w:hAnsi="微软雅黑" w:eastAsia="微软雅黑" w:cs="微软雅黑"/>
                <w:b/>
                <w:color w:val="auto"/>
                <w:kern w:val="0"/>
                <w:sz w:val="21"/>
                <w:szCs w:val="21"/>
                <w:highlight w:val="none"/>
              </w:rPr>
            </w:pPr>
            <w:r>
              <w:rPr>
                <w:rFonts w:hint="eastAsia" w:ascii="微软雅黑" w:hAnsi="微软雅黑" w:eastAsia="微软雅黑" w:cs="微软雅黑"/>
                <w:b/>
                <w:color w:val="auto"/>
                <w:kern w:val="0"/>
                <w:sz w:val="21"/>
                <w:szCs w:val="21"/>
                <w:highlight w:val="none"/>
              </w:rPr>
              <w:t>承接代理范围</w:t>
            </w:r>
          </w:p>
        </w:tc>
        <w:tc>
          <w:tcPr>
            <w:tcW w:w="1500" w:type="dxa"/>
            <w:tcBorders>
              <w:top w:val="single" w:color="auto" w:sz="4" w:space="0"/>
              <w:left w:val="single" w:color="auto" w:sz="4" w:space="0"/>
              <w:right w:val="single" w:color="auto" w:sz="4" w:space="0"/>
            </w:tcBorders>
            <w:vAlign w:val="center"/>
          </w:tcPr>
          <w:p>
            <w:pPr>
              <w:snapToGrid w:val="0"/>
              <w:spacing w:line="560" w:lineRule="exact"/>
              <w:jc w:val="center"/>
              <w:rPr>
                <w:color w:val="auto"/>
                <w:sz w:val="21"/>
                <w:szCs w:val="21"/>
                <w:highlight w:val="none"/>
              </w:rPr>
            </w:pPr>
            <w:r>
              <w:rPr>
                <w:rFonts w:hint="eastAsia" w:ascii="微软雅黑" w:hAnsi="微软雅黑" w:eastAsia="微软雅黑" w:cs="微软雅黑"/>
                <w:b/>
                <w:color w:val="auto"/>
                <w:kern w:val="0"/>
                <w:sz w:val="21"/>
                <w:szCs w:val="21"/>
                <w:highlight w:val="none"/>
              </w:rPr>
              <w:t>服务时间</w:t>
            </w:r>
          </w:p>
        </w:tc>
        <w:tc>
          <w:tcPr>
            <w:tcW w:w="2429" w:type="dxa"/>
            <w:tcBorders>
              <w:top w:val="single" w:color="auto" w:sz="4" w:space="0"/>
              <w:left w:val="single" w:color="auto" w:sz="4" w:space="0"/>
              <w:right w:val="single" w:color="auto" w:sz="4" w:space="0"/>
            </w:tcBorders>
            <w:vAlign w:val="center"/>
          </w:tcPr>
          <w:p>
            <w:pPr>
              <w:snapToGrid w:val="0"/>
              <w:spacing w:line="560" w:lineRule="exact"/>
              <w:jc w:val="center"/>
              <w:rPr>
                <w:rFonts w:hint="eastAsia" w:ascii="微软雅黑" w:hAnsi="微软雅黑" w:eastAsia="微软雅黑" w:cs="微软雅黑"/>
                <w:b/>
                <w:color w:val="auto"/>
                <w:kern w:val="0"/>
                <w:sz w:val="21"/>
                <w:szCs w:val="21"/>
                <w:highlight w:val="none"/>
              </w:rPr>
            </w:pPr>
            <w:r>
              <w:rPr>
                <w:rFonts w:hint="eastAsia" w:ascii="微软雅黑" w:hAnsi="微软雅黑" w:eastAsia="微软雅黑" w:cs="微软雅黑"/>
                <w:b/>
                <w:color w:val="auto"/>
                <w:kern w:val="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微软雅黑" w:hAnsi="微软雅黑" w:eastAsia="微软雅黑" w:cs="微软雅黑"/>
                <w:color w:val="auto"/>
                <w:sz w:val="21"/>
                <w:szCs w:val="21"/>
                <w:highlight w:val="none"/>
              </w:rPr>
            </w:pPr>
            <w:bookmarkStart w:id="8" w:name="_Hlk344477914"/>
            <w:r>
              <w:rPr>
                <w:rFonts w:hint="eastAsia" w:ascii="微软雅黑" w:hAnsi="微软雅黑" w:eastAsia="微软雅黑" w:cs="微软雅黑"/>
                <w:color w:val="auto"/>
                <w:sz w:val="21"/>
                <w:szCs w:val="21"/>
                <w:highlight w:val="none"/>
              </w:rPr>
              <w:t>重庆两江新区人民医院招标代理服务机构遴选项目</w:t>
            </w:r>
          </w:p>
        </w:tc>
        <w:tc>
          <w:tcPr>
            <w:tcW w:w="1708"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参照计价格 ［2002］1980 号《招标代理服务收费标准》</w:t>
            </w:r>
          </w:p>
        </w:tc>
        <w:tc>
          <w:tcPr>
            <w:tcW w:w="1230"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小于等于3</w:t>
            </w:r>
          </w:p>
        </w:tc>
        <w:tc>
          <w:tcPr>
            <w:tcW w:w="2561"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hint="eastAsia" w:ascii="微软雅黑" w:hAnsi="微软雅黑" w:eastAsia="微软雅黑" w:cs="微软雅黑"/>
                <w:color w:val="auto"/>
                <w:kern w:val="0"/>
                <w:sz w:val="21"/>
                <w:szCs w:val="21"/>
                <w:highlight w:val="none"/>
              </w:rPr>
            </w:pPr>
            <w:bookmarkStart w:id="9" w:name="OLE_LINK1"/>
            <w:r>
              <w:rPr>
                <w:rFonts w:hint="eastAsia" w:ascii="微软雅黑" w:hAnsi="微软雅黑" w:eastAsia="微软雅黑" w:cs="微软雅黑"/>
                <w:color w:val="auto"/>
                <w:kern w:val="0"/>
                <w:sz w:val="21"/>
                <w:szCs w:val="21"/>
                <w:highlight w:val="none"/>
              </w:rPr>
              <w:t>单次50万元（不含）以下采购项目，及单次 50 万元（含）以上但属政府采购目录外且交易中心不承接的项目</w:t>
            </w:r>
            <w:bookmarkEnd w:id="9"/>
          </w:p>
        </w:tc>
        <w:tc>
          <w:tcPr>
            <w:tcW w:w="1500"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自合同签订之日起，合同期限为1年</w:t>
            </w:r>
          </w:p>
        </w:tc>
        <w:tc>
          <w:tcPr>
            <w:tcW w:w="2429" w:type="dxa"/>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若成交数量大于1，则按照评审排名先后，采用顺序轮候的方式开展委托事项。</w:t>
            </w:r>
          </w:p>
        </w:tc>
      </w:tr>
      <w:bookmarkEnd w:id="8"/>
    </w:tbl>
    <w:p>
      <w:pPr>
        <w:pStyle w:val="3"/>
        <w:spacing w:line="400" w:lineRule="exact"/>
        <w:rPr>
          <w:rFonts w:hint="eastAsia" w:ascii="微软雅黑" w:hAnsi="微软雅黑" w:eastAsia="微软雅黑" w:cs="微软雅黑"/>
          <w:color w:val="auto"/>
          <w:sz w:val="24"/>
          <w:szCs w:val="24"/>
          <w:highlight w:val="none"/>
        </w:rPr>
      </w:pPr>
      <w:bookmarkStart w:id="10" w:name="_Toc10048"/>
      <w:r>
        <w:rPr>
          <w:rFonts w:hint="eastAsia" w:ascii="微软雅黑" w:hAnsi="微软雅黑" w:eastAsia="微软雅黑" w:cs="微软雅黑"/>
          <w:color w:val="auto"/>
          <w:sz w:val="24"/>
          <w:szCs w:val="24"/>
          <w:highlight w:val="none"/>
        </w:rPr>
        <w:t>二、代理机构资格条件</w:t>
      </w:r>
      <w:bookmarkEnd w:id="10"/>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代理机构是指向采购人提供货物、工程或者服务的法人、其他组织。合格的代理机构应符合政府采购法第二十二条规定的基本条件，同时符合根据该项目特殊要求设置的特定资格条件。</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（一）基本资格条件</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1.具有独立承担民事责任的能力；</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2.具有良好的商业信誉和健全的财务会计制度；</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3.具有履行合同所必需的设备和专业技术能力；</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4.有依法缴纳税收和社会保障资金的良好记录；</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5.参加政府采购活动前三年内，在经营活动中没有重大违法记录；</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6.法律、行政法规规定的其他条件。</w:t>
      </w:r>
    </w:p>
    <w:p>
      <w:pPr>
        <w:spacing w:line="520" w:lineRule="exact"/>
        <w:ind w:firstLine="440" w:firstLineChars="200"/>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注：若供应商是总公司授权的分公司参与采购，只接受总公司授权的一家分公司参与采购（提供授权书原件）。若总公司授权多家分公司参与采购的，被授权的所有分公司均为无效响应；若总公司也同时参与采购的，总公司与被授权的所有分公司均为无效响应。</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（二）特定资格条件</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1.须入驻重庆市政府采购代理机构库（提供重庆市政府采购网相关截图并加盖公章）。</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2.具有良好的商业信誉，未因政府采购相关业务受到财政局处罚，提供承诺书（格式自拟）；</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3.遵守诚实守信原则和保密义务，维护采购人利益，自觉抵制政府采购领域商业贿赂行为，提供廉洁承诺书（格式自拟）。</w:t>
      </w:r>
    </w:p>
    <w:p>
      <w:pPr>
        <w:pStyle w:val="3"/>
        <w:spacing w:line="480" w:lineRule="exact"/>
        <w:rPr>
          <w:rFonts w:hint="eastAsia" w:ascii="微软雅黑" w:hAnsi="微软雅黑" w:eastAsia="微软雅黑" w:cs="微软雅黑"/>
          <w:color w:val="auto"/>
          <w:sz w:val="24"/>
          <w:szCs w:val="24"/>
          <w:highlight w:val="none"/>
        </w:rPr>
      </w:pPr>
      <w:bookmarkStart w:id="11" w:name="_Toc18033"/>
      <w:r>
        <w:rPr>
          <w:rFonts w:hint="eastAsia" w:ascii="微软雅黑" w:hAnsi="微软雅黑" w:eastAsia="微软雅黑" w:cs="微软雅黑"/>
          <w:color w:val="auto"/>
          <w:sz w:val="24"/>
          <w:szCs w:val="24"/>
          <w:highlight w:val="none"/>
        </w:rPr>
        <w:t>三、比选有关说明</w:t>
      </w:r>
      <w:bookmarkEnd w:id="6"/>
      <w:bookmarkEnd w:id="11"/>
    </w:p>
    <w:bookmarkEnd w:id="7"/>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w:t>
      </w:r>
      <w:bookmarkStart w:id="12" w:name="_Toc373860294"/>
      <w:r>
        <w:rPr>
          <w:rFonts w:hint="eastAsia" w:ascii="微软雅黑" w:hAnsi="微软雅黑" w:eastAsia="微软雅黑" w:cs="微软雅黑"/>
          <w:color w:val="auto"/>
          <w:sz w:val="24"/>
          <w:szCs w:val="24"/>
          <w:highlight w:val="none"/>
        </w:rPr>
        <w:t>凡有意参加的供应商，请于公告发布之日起至提交响应文件截止时间之前在重庆两江新区人民医院官网(http://www.ljxqrmyy.com/html/yyzb/)自行下载本项目比选文件、补遗等比选前公布的所有项目资料，无论供应商下载与否，均视为已知晓所有文件实质性要求内容。</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（二）竞争性比选公告期限：自采购公告发布之日起三个工作日。</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w:t>
      </w:r>
      <w:bookmarkStart w:id="13" w:name="_Toc14103757"/>
      <w:bookmarkStart w:id="14" w:name="_Toc14103821"/>
      <w:bookmarkStart w:id="15" w:name="_Toc14103901"/>
      <w:r>
        <w:rPr>
          <w:rFonts w:hint="eastAsia" w:ascii="微软雅黑" w:hAnsi="微软雅黑" w:eastAsia="微软雅黑" w:cs="微软雅黑"/>
          <w:color w:val="auto"/>
          <w:sz w:val="24"/>
          <w:szCs w:val="24"/>
          <w:highlight w:val="none"/>
        </w:rPr>
        <w:t>代理机构须</w:t>
      </w:r>
      <w:bookmarkEnd w:id="13"/>
      <w:bookmarkEnd w:id="14"/>
      <w:bookmarkEnd w:id="15"/>
      <w:bookmarkStart w:id="16" w:name="_Toc14103903"/>
      <w:bookmarkStart w:id="17" w:name="_Toc14103823"/>
      <w:bookmarkStart w:id="18" w:name="_Toc14103759"/>
      <w:r>
        <w:rPr>
          <w:rFonts w:hint="eastAsia" w:ascii="微软雅黑" w:hAnsi="微软雅黑" w:eastAsia="微软雅黑" w:cs="微软雅黑"/>
          <w:color w:val="auto"/>
          <w:sz w:val="24"/>
          <w:szCs w:val="24"/>
          <w:highlight w:val="none"/>
        </w:rPr>
        <w:t>按时递交投标文件</w:t>
      </w:r>
      <w:bookmarkEnd w:id="16"/>
      <w:bookmarkEnd w:id="17"/>
      <w:bookmarkEnd w:id="18"/>
      <w:r>
        <w:rPr>
          <w:rFonts w:hint="eastAsia" w:ascii="微软雅黑" w:hAnsi="微软雅黑" w:eastAsia="微软雅黑" w:cs="微软雅黑"/>
          <w:color w:val="auto"/>
          <w:sz w:val="24"/>
          <w:szCs w:val="24"/>
          <w:highlight w:val="none"/>
        </w:rPr>
        <w:t>。</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（四）递交响应文件地点：重庆市两江新区人民医院6号楼（科教楼）</w:t>
      </w:r>
      <w:r>
        <w:rPr>
          <w:rFonts w:hint="eastAsia" w:ascii="微软雅黑" w:hAnsi="微软雅黑" w:eastAsia="微软雅黑" w:cs="微软雅黑"/>
          <w:color w:val="auto"/>
          <w:sz w:val="24"/>
          <w:szCs w:val="24"/>
          <w:highlight w:val="none"/>
          <w:lang w:val="en-US" w:eastAsia="zh-CN"/>
        </w:rPr>
        <w:t>9</w:t>
      </w:r>
      <w:r>
        <w:rPr>
          <w:rFonts w:hint="eastAsia" w:ascii="微软雅黑" w:hAnsi="微软雅黑" w:eastAsia="微软雅黑" w:cs="微软雅黑"/>
          <w:color w:val="auto"/>
          <w:sz w:val="24"/>
          <w:szCs w:val="24"/>
          <w:highlight w:val="none"/>
        </w:rPr>
        <w:t>01</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（五）报名及响应文件递交开始时间：2025年</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月</w:t>
      </w:r>
      <w:bookmarkStart w:id="19" w:name="OLE_LINK5"/>
      <w:r>
        <w:rPr>
          <w:rFonts w:hint="eastAsia" w:ascii="微软雅黑" w:hAnsi="微软雅黑" w:eastAsia="微软雅黑" w:cs="微软雅黑"/>
          <w:color w:val="auto"/>
          <w:sz w:val="24"/>
          <w:szCs w:val="24"/>
          <w:highlight w:val="none"/>
          <w:lang w:val="en-US" w:eastAsia="zh-CN"/>
        </w:rPr>
        <w:t>13</w:t>
      </w:r>
      <w:bookmarkEnd w:id="19"/>
      <w:r>
        <w:rPr>
          <w:rFonts w:hint="eastAsia" w:ascii="微软雅黑" w:hAnsi="微软雅黑" w:eastAsia="微软雅黑" w:cs="微软雅黑"/>
          <w:color w:val="auto"/>
          <w:sz w:val="24"/>
          <w:szCs w:val="24"/>
          <w:highlight w:val="none"/>
        </w:rPr>
        <w:t xml:space="preserve">日北京时间 </w:t>
      </w:r>
      <w:r>
        <w:rPr>
          <w:rFonts w:hint="eastAsia" w:ascii="微软雅黑" w:hAnsi="微软雅黑" w:eastAsia="微软雅黑" w:cs="微软雅黑"/>
          <w:color w:val="auto"/>
          <w:sz w:val="24"/>
          <w:szCs w:val="24"/>
          <w:highlight w:val="none"/>
          <w:lang w:val="en-US" w:eastAsia="zh-CN"/>
        </w:rPr>
        <w:t>14</w:t>
      </w:r>
      <w:r>
        <w:rPr>
          <w:rFonts w:hint="eastAsia" w:ascii="微软雅黑" w:hAnsi="微软雅黑" w:eastAsia="微软雅黑" w:cs="微软雅黑"/>
          <w:color w:val="auto"/>
          <w:sz w:val="24"/>
          <w:szCs w:val="24"/>
          <w:highlight w:val="none"/>
        </w:rPr>
        <w:t>:</w:t>
      </w: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rPr>
        <w:t>0</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（六）报名及响应文件递交截止时间：2025年</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月</w:t>
      </w:r>
      <w:r>
        <w:rPr>
          <w:rFonts w:hint="eastAsia" w:ascii="微软雅黑" w:hAnsi="微软雅黑" w:eastAsia="微软雅黑" w:cs="微软雅黑"/>
          <w:color w:val="auto"/>
          <w:sz w:val="24"/>
          <w:szCs w:val="24"/>
          <w:highlight w:val="none"/>
          <w:lang w:val="en-US" w:eastAsia="zh-CN"/>
        </w:rPr>
        <w:t>13</w:t>
      </w:r>
      <w:r>
        <w:rPr>
          <w:rFonts w:hint="eastAsia" w:ascii="微软雅黑" w:hAnsi="微软雅黑" w:eastAsia="微软雅黑" w:cs="微软雅黑"/>
          <w:color w:val="auto"/>
          <w:sz w:val="24"/>
          <w:szCs w:val="24"/>
          <w:highlight w:val="none"/>
        </w:rPr>
        <w:t xml:space="preserve">日北京时间 </w:t>
      </w:r>
      <w:r>
        <w:rPr>
          <w:rFonts w:hint="eastAsia" w:ascii="微软雅黑" w:hAnsi="微软雅黑" w:eastAsia="微软雅黑" w:cs="微软雅黑"/>
          <w:color w:val="auto"/>
          <w:sz w:val="24"/>
          <w:szCs w:val="24"/>
          <w:highlight w:val="none"/>
          <w:lang w:val="en-US" w:eastAsia="zh-CN"/>
        </w:rPr>
        <w:t>14</w:t>
      </w:r>
      <w:r>
        <w:rPr>
          <w:rFonts w:hint="eastAsia" w:ascii="微软雅黑" w:hAnsi="微软雅黑" w:eastAsia="微软雅黑" w:cs="微软雅黑"/>
          <w:color w:val="auto"/>
          <w:sz w:val="24"/>
          <w:szCs w:val="24"/>
          <w:highlight w:val="none"/>
        </w:rPr>
        <w:t>:</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rPr>
        <w:t>0</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（七）比选开始时间：2025年</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月</w:t>
      </w:r>
      <w:r>
        <w:rPr>
          <w:rFonts w:hint="eastAsia" w:ascii="微软雅黑" w:hAnsi="微软雅黑" w:eastAsia="微软雅黑" w:cs="微软雅黑"/>
          <w:color w:val="auto"/>
          <w:sz w:val="24"/>
          <w:szCs w:val="24"/>
          <w:highlight w:val="none"/>
          <w:lang w:val="en-US" w:eastAsia="zh-CN"/>
        </w:rPr>
        <w:t>13</w:t>
      </w:r>
      <w:r>
        <w:rPr>
          <w:rFonts w:hint="eastAsia" w:ascii="微软雅黑" w:hAnsi="微软雅黑" w:eastAsia="微软雅黑" w:cs="微软雅黑"/>
          <w:color w:val="auto"/>
          <w:sz w:val="24"/>
          <w:szCs w:val="24"/>
          <w:highlight w:val="none"/>
        </w:rPr>
        <w:t xml:space="preserve">日北京时间 </w:t>
      </w:r>
      <w:r>
        <w:rPr>
          <w:rFonts w:hint="eastAsia" w:ascii="微软雅黑" w:hAnsi="微软雅黑" w:eastAsia="微软雅黑" w:cs="微软雅黑"/>
          <w:color w:val="auto"/>
          <w:sz w:val="24"/>
          <w:szCs w:val="24"/>
          <w:highlight w:val="none"/>
          <w:lang w:val="en-US" w:eastAsia="zh-CN"/>
        </w:rPr>
        <w:t>14</w:t>
      </w:r>
      <w:r>
        <w:rPr>
          <w:rFonts w:hint="eastAsia" w:ascii="微软雅黑" w:hAnsi="微软雅黑" w:eastAsia="微软雅黑" w:cs="微软雅黑"/>
          <w:color w:val="auto"/>
          <w:sz w:val="24"/>
          <w:szCs w:val="24"/>
          <w:highlight w:val="none"/>
        </w:rPr>
        <w:t>:</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rPr>
        <w:t>0。</w:t>
      </w:r>
    </w:p>
    <w:bookmarkEnd w:id="12"/>
    <w:p>
      <w:pPr>
        <w:pStyle w:val="3"/>
        <w:spacing w:line="380" w:lineRule="exact"/>
        <w:rPr>
          <w:rFonts w:hint="eastAsia" w:ascii="微软雅黑" w:hAnsi="微软雅黑" w:eastAsia="微软雅黑" w:cs="微软雅黑"/>
          <w:color w:val="auto"/>
          <w:sz w:val="24"/>
          <w:szCs w:val="24"/>
          <w:highlight w:val="none"/>
        </w:rPr>
      </w:pPr>
      <w:bookmarkStart w:id="20" w:name="_Toc17448"/>
      <w:bookmarkStart w:id="21" w:name="_Toc6849"/>
      <w:r>
        <w:rPr>
          <w:rFonts w:hint="eastAsia" w:ascii="微软雅黑" w:hAnsi="微软雅黑" w:eastAsia="微软雅黑" w:cs="微软雅黑"/>
          <w:color w:val="auto"/>
          <w:sz w:val="24"/>
          <w:szCs w:val="24"/>
          <w:highlight w:val="none"/>
        </w:rPr>
        <w:t>四、其它有关规定</w:t>
      </w:r>
      <w:bookmarkEnd w:id="20"/>
      <w:bookmarkEnd w:id="21"/>
    </w:p>
    <w:p>
      <w:pPr>
        <w:snapToGrid w:val="0"/>
        <w:spacing w:line="3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（一）单位负责人为同一人或者存在直接控股、管理关系的不同代理机构，不得参加同一合同项下的采购活动，否则均为无效响应。</w:t>
      </w:r>
    </w:p>
    <w:p>
      <w:pPr>
        <w:snapToGrid w:val="0"/>
        <w:spacing w:line="38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（二）为采购项目提供整体设计、规范编制或者项目管理、监理、检测等服务的代理机构，不得再参加该采购项目的其他采购活动。</w:t>
      </w:r>
    </w:p>
    <w:p>
      <w:pPr>
        <w:snapToGrid w:val="0"/>
        <w:spacing w:line="38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（三）本项目的补遗文件（如果有）在重庆两江新区人民医院官网上发布，请各代理机构注意下载；无论代理机构下载与否，均视同代理机构已知晓本项目补遗文件（如果有）的内容。</w:t>
      </w:r>
    </w:p>
    <w:p>
      <w:pPr>
        <w:snapToGrid w:val="0"/>
        <w:spacing w:line="38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（四）超过比选响应文件截止时间递交的比选响应文件，恕不接收。</w:t>
      </w:r>
    </w:p>
    <w:p>
      <w:pPr>
        <w:snapToGrid w:val="0"/>
        <w:spacing w:line="3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（五）比选费用：无论比选结果如何，代理机构参与本项目比选的所有费用均应由代理机构自行承担。</w:t>
      </w:r>
    </w:p>
    <w:p>
      <w:pPr>
        <w:snapToGrid w:val="0"/>
        <w:spacing w:line="380" w:lineRule="exact"/>
        <w:ind w:firstLine="480" w:firstLineChars="200"/>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（六）本项目不接受联合体参与比选，否则按无效处理。</w:t>
      </w:r>
    </w:p>
    <w:p>
      <w:pPr>
        <w:snapToGrid w:val="0"/>
        <w:spacing w:line="380" w:lineRule="exact"/>
        <w:ind w:firstLine="480" w:firstLineChars="200"/>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（七）本项目不接受合同分包，否则按无效处理。</w:t>
      </w:r>
    </w:p>
    <w:p>
      <w:pPr>
        <w:snapToGrid w:val="0"/>
        <w:spacing w:line="3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按照《财政部关于在政府采购活动中查询及使用信用记录有关问题的通知》财库〔2016〕125号，代理机构列入失信被执行人、重大税收违法案件当事人名单、政府采购严重违法失信行为记录名单及其他不符合《中华人民共和国政府采购法》第二十二条规定条件的代理机构，将拒绝其参与政府采购活动。</w:t>
      </w:r>
    </w:p>
    <w:p>
      <w:pPr>
        <w:pStyle w:val="3"/>
        <w:spacing w:line="380" w:lineRule="exact"/>
        <w:rPr>
          <w:rFonts w:hint="eastAsia" w:ascii="微软雅黑" w:hAnsi="微软雅黑" w:eastAsia="微软雅黑" w:cs="微软雅黑"/>
          <w:color w:val="auto"/>
          <w:sz w:val="24"/>
          <w:szCs w:val="24"/>
          <w:highlight w:val="none"/>
        </w:rPr>
      </w:pPr>
      <w:bookmarkStart w:id="22" w:name="_Toc25558"/>
      <w:r>
        <w:rPr>
          <w:rFonts w:hint="eastAsia" w:ascii="微软雅黑" w:hAnsi="微软雅黑" w:eastAsia="微软雅黑" w:cs="微软雅黑"/>
          <w:color w:val="auto"/>
          <w:sz w:val="24"/>
          <w:szCs w:val="24"/>
          <w:highlight w:val="none"/>
        </w:rPr>
        <w:t>五、联系方式</w:t>
      </w:r>
      <w:bookmarkEnd w:id="22"/>
    </w:p>
    <w:p>
      <w:pPr>
        <w:snapToGrid w:val="0"/>
        <w:spacing w:line="520" w:lineRule="exact"/>
        <w:ind w:firstLine="480" w:firstLineChars="200"/>
        <w:rPr>
          <w:rFonts w:hint="eastAsia" w:ascii="微软雅黑" w:hAnsi="微软雅黑" w:eastAsia="微软雅黑" w:cs="微软雅黑"/>
          <w:color w:val="auto"/>
          <w:sz w:val="24"/>
          <w:szCs w:val="24"/>
          <w:highlight w:val="none"/>
        </w:rPr>
      </w:pPr>
      <w:bookmarkStart w:id="23" w:name="OLE_LINK3"/>
      <w:bookmarkStart w:id="24" w:name="_Toc25460"/>
      <w:r>
        <w:rPr>
          <w:rFonts w:hint="eastAsia" w:ascii="微软雅黑" w:hAnsi="微软雅黑" w:eastAsia="微软雅黑" w:cs="微软雅黑"/>
          <w:color w:val="auto"/>
          <w:sz w:val="24"/>
          <w:szCs w:val="24"/>
          <w:highlight w:val="none"/>
        </w:rPr>
        <w:t>（一）采购人：重庆市两江新区人民医院</w:t>
      </w:r>
    </w:p>
    <w:p>
      <w:pPr>
        <w:snapToGrid w:val="0"/>
        <w:spacing w:line="520" w:lineRule="exact"/>
        <w:ind w:firstLine="480" w:firstLineChars="200"/>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rPr>
        <w:t>联系人：刘老师</w:t>
      </w:r>
      <w:r>
        <w:rPr>
          <w:rFonts w:hint="eastAsia" w:ascii="微软雅黑" w:hAnsi="微软雅黑" w:eastAsia="微软雅黑" w:cs="微软雅黑"/>
          <w:color w:val="auto"/>
          <w:sz w:val="24"/>
          <w:szCs w:val="24"/>
          <w:highlight w:val="none"/>
          <w:lang w:val="en-US" w:eastAsia="zh-CN"/>
        </w:rPr>
        <w:t xml:space="preserve"> 王老师</w:t>
      </w:r>
    </w:p>
    <w:p>
      <w:pPr>
        <w:snapToGrid w:val="0"/>
        <w:spacing w:line="520" w:lineRule="exact"/>
        <w:ind w:firstLine="480" w:firstLineChars="200"/>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rPr>
        <w:t>电  话：023-86791518</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023-86791820</w:t>
      </w:r>
    </w:p>
    <w:p>
      <w:pPr>
        <w:snapToGrid w:val="0"/>
        <w:spacing w:line="520" w:lineRule="exact"/>
        <w:ind w:firstLine="480" w:firstLineChars="200"/>
        <w:rPr>
          <w:rFonts w:hint="eastAsia" w:ascii="微软雅黑" w:hAnsi="微软雅黑" w:eastAsia="微软雅黑" w:cs="微软雅黑"/>
          <w:color w:val="auto"/>
          <w:sz w:val="24"/>
          <w:szCs w:val="24"/>
          <w:highlight w:val="none"/>
        </w:rPr>
        <w:sectPr>
          <w:pgSz w:w="11907" w:h="16840"/>
          <w:pgMar w:top="1134" w:right="1418" w:bottom="1134" w:left="1418" w:header="964" w:footer="992" w:gutter="0"/>
          <w:pgNumType w:fmt="numberInDash"/>
          <w:cols w:space="720" w:num="1"/>
          <w:docGrid w:linePitch="312" w:charSpace="0"/>
        </w:sectPr>
      </w:pPr>
      <w:r>
        <w:rPr>
          <w:rFonts w:hint="eastAsia" w:ascii="微软雅黑" w:hAnsi="微软雅黑" w:eastAsia="微软雅黑" w:cs="微软雅黑"/>
          <w:color w:val="auto"/>
          <w:sz w:val="24"/>
          <w:szCs w:val="24"/>
          <w:highlight w:val="none"/>
        </w:rPr>
        <w:t>地  址：重庆两江新区人民医院6号楼（科教楼）6</w:t>
      </w:r>
      <w:r>
        <w:rPr>
          <w:rFonts w:hint="eastAsia" w:ascii="微软雅黑" w:hAnsi="微软雅黑" w:eastAsia="微软雅黑" w:cs="微软雅黑"/>
          <w:color w:val="auto"/>
          <w:sz w:val="24"/>
          <w:szCs w:val="24"/>
          <w:highlight w:val="none"/>
          <w:lang w:val="en-US" w:eastAsia="zh-CN"/>
        </w:rPr>
        <w:t>楼</w:t>
      </w:r>
      <w:r>
        <w:rPr>
          <w:rFonts w:hint="eastAsia" w:ascii="微软雅黑" w:hAnsi="微软雅黑" w:eastAsia="微软雅黑" w:cs="微软雅黑"/>
          <w:color w:val="auto"/>
          <w:sz w:val="24"/>
          <w:szCs w:val="24"/>
          <w:highlight w:val="none"/>
        </w:rPr>
        <w:t>。</w:t>
      </w:r>
    </w:p>
    <w:p>
      <w:pPr>
        <w:pStyle w:val="2"/>
        <w:numPr>
          <w:ilvl w:val="0"/>
          <w:numId w:val="1"/>
        </w:numPr>
        <w:spacing w:line="360" w:lineRule="auto"/>
        <w:jc w:val="center"/>
        <w:rPr>
          <w:rFonts w:hint="eastAsia" w:ascii="微软雅黑" w:hAnsi="微软雅黑" w:eastAsia="微软雅黑" w:cs="微软雅黑"/>
          <w:b w:val="0"/>
          <w:color w:val="auto"/>
          <w:sz w:val="36"/>
          <w:szCs w:val="30"/>
          <w:highlight w:val="none"/>
        </w:rPr>
      </w:pPr>
      <w:r>
        <w:rPr>
          <w:rFonts w:hint="eastAsia" w:ascii="微软雅黑" w:hAnsi="微软雅黑" w:eastAsia="微软雅黑" w:cs="微软雅黑"/>
          <w:b w:val="0"/>
          <w:color w:val="auto"/>
          <w:sz w:val="36"/>
          <w:szCs w:val="30"/>
          <w:highlight w:val="none"/>
        </w:rPr>
        <w:t>项目服务</w:t>
      </w:r>
      <w:bookmarkEnd w:id="23"/>
      <w:r>
        <w:rPr>
          <w:rFonts w:hint="eastAsia" w:ascii="微软雅黑" w:hAnsi="微软雅黑" w:eastAsia="微软雅黑" w:cs="微软雅黑"/>
          <w:b w:val="0"/>
          <w:color w:val="auto"/>
          <w:sz w:val="36"/>
          <w:szCs w:val="30"/>
          <w:highlight w:val="none"/>
        </w:rPr>
        <w:t>需求</w:t>
      </w:r>
      <w:bookmarkEnd w:id="24"/>
    </w:p>
    <w:p>
      <w:pPr>
        <w:pStyle w:val="3"/>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bookmarkStart w:id="25" w:name="_Toc3382"/>
      <w:bookmarkStart w:id="26" w:name="_Toc12789058"/>
      <w:r>
        <w:rPr>
          <w:rFonts w:hint="eastAsia" w:ascii="微软雅黑" w:hAnsi="微软雅黑" w:eastAsia="微软雅黑" w:cs="微软雅黑"/>
          <w:color w:val="auto"/>
          <w:sz w:val="24"/>
          <w:szCs w:val="24"/>
          <w:highlight w:val="none"/>
        </w:rPr>
        <w:t>说明：“※”标注的部分为符合性审查中的实质性要求，若不满足按无效投标处理。</w:t>
      </w:r>
    </w:p>
    <w:p>
      <w:pPr>
        <w:pStyle w:val="3"/>
        <w:adjustRightInd w:val="0"/>
        <w:snapToGrid w:val="0"/>
        <w:spacing w:line="520" w:lineRule="exact"/>
        <w:rPr>
          <w:rFonts w:hint="eastAsia" w:ascii="微软雅黑" w:hAnsi="微软雅黑" w:eastAsia="微软雅黑" w:cs="微软雅黑"/>
          <w:color w:val="auto"/>
          <w:sz w:val="28"/>
          <w:szCs w:val="28"/>
          <w:highlight w:val="none"/>
        </w:rPr>
      </w:pPr>
      <w:r>
        <w:rPr>
          <w:rFonts w:hint="eastAsia" w:ascii="微软雅黑" w:hAnsi="微软雅黑" w:eastAsia="微软雅黑" w:cs="微软雅黑"/>
          <w:color w:val="auto"/>
          <w:sz w:val="28"/>
          <w:szCs w:val="28"/>
          <w:highlight w:val="none"/>
        </w:rPr>
        <w:t>一、服务内容</w:t>
      </w:r>
      <w:bookmarkEnd w:id="25"/>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负责采购人单次50万元（不含）以下采购项目，及单次 50 万元（含）以上但属政府采购目录外且交易中心不承接的项目的采购代理工作；具体内容包括但不限于以下工作：</w:t>
      </w:r>
    </w:p>
    <w:p>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（一）协助采购人进行招标前期市场调研、组织产品推介会、组织现场探勘等前期工作，为采购人提供工作咨询服务；</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（二）负责编制采购文件，包括该类文件的澄清或补遗文件；根据采购人提供的需求情况编制采购文件，送采购人审核批准；</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（三）按照采购人审定的采购文件要求，编写采购公告并负责发布采购信息；</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（四）负责采购文件的发售、开标、评标、编写评标报告、评标结果的公示；</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（五）负责组织采购文件答疑会或对潜在代理机构书面答疑，并负责整理答疑资料，形成澄清或者补遗通知作为采购文件的一部分通知所有获取采购文件的潜在代理机构；</w:t>
      </w:r>
    </w:p>
    <w:p>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（六）根据采购项目需求，负责组织或协助采购人组织专家参与评标，并支付评标专家劳务费；</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（七）负责办理投标保证金收取和退还事宜；在采购文件要求的期限内，督促成交供应商按时缴纳履约保证金或保函，并及时将相关证明材料交采购人（若有）。</w:t>
      </w:r>
    </w:p>
    <w:p>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八）负责采购资料的整理及归档，并于确定中标或成交人后，向采购人移交采购过程的采购情况报告电子档及纸质档（纸质档须装订成册，包括但不限于采购过程中产生的全部纸质资料以及开评标活动等相关音视频资料，所有音视频资料刻录成光碟并做好标识）；</w:t>
      </w:r>
    </w:p>
    <w:p>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（九）协助采购人发出成交通知书，拟制合同初稿，协助采购人完成采购合同的签订及公示（若有）。</w:t>
      </w:r>
    </w:p>
    <w:p>
      <w:pPr>
        <w:pStyle w:val="4"/>
        <w:ind w:firstLine="48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（十）协助处理采购项目中的投诉，及时告知采购人，按照相关法律或采购文件规定积极提出科学的措施，及时完成回复的拟制、修改、发出等工作。</w:t>
      </w:r>
    </w:p>
    <w:p>
      <w:pPr>
        <w:pStyle w:val="5"/>
        <w:ind w:firstLine="480"/>
        <w:rPr>
          <w:rFonts w:hint="eastAsia" w:ascii="微软雅黑" w:hAnsi="微软雅黑" w:eastAsia="微软雅黑" w:cs="微软雅黑"/>
          <w:color w:val="auto"/>
          <w:kern w:val="2"/>
          <w:szCs w:val="24"/>
          <w:highlight w:val="none"/>
        </w:rPr>
      </w:pPr>
      <w:r>
        <w:rPr>
          <w:rFonts w:hint="eastAsia" w:hAnsi="宋体" w:cs="宋体"/>
          <w:color w:val="auto"/>
          <w:sz w:val="20"/>
          <w:highlight w:val="none"/>
          <w:shd w:val="clear" w:color="auto" w:fill="FFFFFF"/>
          <w:lang w:bidi="ar"/>
        </w:rPr>
        <w:t>▲</w:t>
      </w:r>
      <w:r>
        <w:rPr>
          <w:rFonts w:hint="eastAsia" w:ascii="微软雅黑" w:hAnsi="微软雅黑" w:eastAsia="微软雅黑" w:cs="微软雅黑"/>
          <w:color w:val="auto"/>
          <w:kern w:val="2"/>
          <w:szCs w:val="24"/>
          <w:highlight w:val="none"/>
        </w:rPr>
        <w:t>（十一）派驻专人对采购人历年来采购项目档案进行专业的、规范化的整理和归档。</w:t>
      </w:r>
    </w:p>
    <w:p>
      <w:pPr>
        <w:ind w:firstLine="48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（十二）代理机构须提供常设每周7天×24小时服务专线和长期的免费技术支持。如采购有人有需要，需在3小时内到达现场。</w:t>
      </w:r>
    </w:p>
    <w:p>
      <w:pPr>
        <w:ind w:firstLine="480"/>
        <w:rPr>
          <w:color w:val="auto"/>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（十三）代理机构须不定期收集整理政府采购及招标投标有关法律、法规和地方规章制度，及时更新并向采购人提供相关文件；在合同期内，对采购人提供不少于壹次政府采购培训和相关政策宣讲。</w:t>
      </w:r>
    </w:p>
    <w:p>
      <w:pPr>
        <w:ind w:firstLine="480"/>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十四）协助采购人完成由集采代理机构承接的项目和院内比选等项目，工作内容包括但不限于：需求调查（若需）、政府采购项目需求调查阶段相关文件拟制、组织产品推介会、采购（比选）文件的编制与审核、组织现场勘察和答疑会、质疑投诉的处理、参与会审</w:t>
      </w:r>
      <w:bookmarkStart w:id="27" w:name="OLE_LINK2"/>
      <w:r>
        <w:rPr>
          <w:rFonts w:hint="eastAsia" w:ascii="微软雅黑" w:hAnsi="微软雅黑" w:eastAsia="微软雅黑" w:cs="微软雅黑"/>
          <w:color w:val="auto"/>
          <w:sz w:val="24"/>
          <w:szCs w:val="24"/>
          <w:highlight w:val="none"/>
        </w:rPr>
        <w:t>（若需）</w:t>
      </w:r>
      <w:bookmarkEnd w:id="27"/>
      <w:r>
        <w:rPr>
          <w:rFonts w:hint="eastAsia" w:ascii="微软雅黑" w:hAnsi="微软雅黑" w:eastAsia="微软雅黑" w:cs="微软雅黑"/>
          <w:color w:val="auto"/>
          <w:sz w:val="24"/>
          <w:szCs w:val="24"/>
          <w:highlight w:val="none"/>
        </w:rPr>
        <w:t>、主持现场开标及分数统计（院内比选项目）、资料移交与送审、合同拟制等，过程中产生所有费用均由采购代理机构承担。</w:t>
      </w:r>
    </w:p>
    <w:p>
      <w:pPr>
        <w:ind w:firstLine="480"/>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（十五）采购代理机构须无条件配合采购人接受的各级审计、巡视工作。无条件接受采购人及其纪检监察、审计和其他行政主管部门监督。</w:t>
      </w:r>
    </w:p>
    <w:p>
      <w:pPr>
        <w:ind w:firstLine="480"/>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rPr>
        <w:t>（十六）采购人有权要求成交采购代理机构提供医院常见采购项目重难点分析，分析的重点包括容易质疑及投诉的点分析、采购方式的选择及依据，质疑投诉处理预案等。主要</w:t>
      </w:r>
      <w:r>
        <w:rPr>
          <w:rFonts w:hint="eastAsia" w:ascii="微软雅黑" w:hAnsi="微软雅黑" w:eastAsia="微软雅黑" w:cs="微软雅黑"/>
          <w:color w:val="auto"/>
          <w:sz w:val="24"/>
          <w:szCs w:val="24"/>
          <w:highlight w:val="none"/>
          <w:lang w:val="en-US" w:eastAsia="zh-CN"/>
        </w:rPr>
        <w:t>包括</w:t>
      </w:r>
      <w:r>
        <w:rPr>
          <w:rFonts w:hint="eastAsia" w:ascii="微软雅黑" w:hAnsi="微软雅黑" w:eastAsia="微软雅黑" w:cs="微软雅黑"/>
          <w:color w:val="auto"/>
          <w:sz w:val="24"/>
          <w:szCs w:val="24"/>
          <w:highlight w:val="none"/>
        </w:rPr>
        <w:t>1.固定资产类项目；2.办公耗材类（办公用品、日化品、日杂品、纸质印刷品、塑料印刷品）；3.维修材料类重难点分析；4.外包管理类项目（保安、保洁、洗涤、绿植维保等项目）；4.食品类项目；5.设施设备维保类项目（包含电力运维，中央空调维保等）；6.医院工程类项目。</w:t>
      </w:r>
      <w:r>
        <w:rPr>
          <w:rFonts w:hint="eastAsia" w:ascii="微软雅黑" w:hAnsi="微软雅黑" w:eastAsia="微软雅黑" w:cs="微软雅黑"/>
          <w:color w:val="auto"/>
          <w:sz w:val="24"/>
          <w:szCs w:val="24"/>
          <w:highlight w:val="none"/>
          <w:lang w:val="en-US" w:eastAsia="zh-CN"/>
        </w:rPr>
        <w:t>7.医学装备类项目（含医用耗材）</w:t>
      </w:r>
      <w:r>
        <w:rPr>
          <w:rFonts w:hint="eastAsia" w:ascii="微软雅黑" w:hAnsi="微软雅黑" w:eastAsia="微软雅黑" w:cs="微软雅黑"/>
          <w:color w:val="auto"/>
          <w:sz w:val="24"/>
          <w:szCs w:val="24"/>
          <w:highlight w:val="none"/>
          <w:lang w:val="en-US" w:eastAsia="zh-CN"/>
        </w:rPr>
        <w:t>。</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（十七）完成采购人交办的其他工作。</w:t>
      </w:r>
    </w:p>
    <w:p>
      <w:pPr>
        <w:spacing w:line="520" w:lineRule="exact"/>
        <w:ind w:firstLine="570"/>
        <w:jc w:val="left"/>
        <w:rPr>
          <w:rFonts w:hint="eastAsia" w:ascii="微软雅黑" w:hAnsi="微软雅黑" w:eastAsia="微软雅黑" w:cs="微软雅黑"/>
          <w:b/>
          <w:bCs/>
          <w:color w:val="auto"/>
          <w:sz w:val="22"/>
          <w:szCs w:val="22"/>
          <w:highlight w:val="none"/>
        </w:rPr>
      </w:pPr>
      <w:r>
        <w:rPr>
          <w:rFonts w:hint="eastAsia" w:ascii="微软雅黑" w:hAnsi="微软雅黑" w:eastAsia="微软雅黑" w:cs="微软雅黑"/>
          <w:b/>
          <w:bCs/>
          <w:color w:val="auto"/>
          <w:sz w:val="22"/>
          <w:szCs w:val="22"/>
          <w:highlight w:val="none"/>
        </w:rPr>
        <w:t>特别说明：在任何情况下，采购人不保证成交代理机构在服务周期内所获取的业务量与业务收入。</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28" w:name="_Toc10896"/>
      <w:bookmarkStart w:id="29" w:name="_Toc14525"/>
      <w:r>
        <w:rPr>
          <w:rFonts w:hint="eastAsia" w:ascii="微软雅黑" w:hAnsi="微软雅黑" w:eastAsia="微软雅黑" w:cs="微软雅黑"/>
          <w:color w:val="auto"/>
          <w:sz w:val="28"/>
          <w:szCs w:val="28"/>
          <w:highlight w:val="none"/>
        </w:rPr>
        <w:t>二、服务要求</w:t>
      </w:r>
      <w:bookmarkEnd w:id="28"/>
      <w:bookmarkEnd w:id="29"/>
    </w:p>
    <w:p>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b/>
          <w:bCs/>
          <w:color w:val="auto"/>
          <w:sz w:val="24"/>
          <w:szCs w:val="24"/>
          <w:highlight w:val="none"/>
        </w:rPr>
        <w:t>（一）代理行为合法合规</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采购代理机构必须严格执行国家采购法律法规，自觉接受采购人的业务指导和监督管理，全力维护采购人的合法权益；运用自身的专业技能为采购人提出专业建议，做好采购代理工作，并提供与采购项目有关的其它服务。在代理服务中的整个招标采购过程需按照国家政府采购相关法律法规的要求，符合代理项目的招标采购流程，不得有营私舞弊的行为。如因没有执行相关政策规定，或擅自改变采购人需求而没有明确告知等，损害采购人利益的，依法追究其责任，并上报当地主管部门或监管部门。</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采购代理机构向采购人移交的所有有关采购活动的资料，均须通过书面形式移交，采购人收悉后，将按审核意见予以回复；采购人向采购代理机构提出的意见建议，采购代理机构应予以审核，如与采购相关法规不符，采购代理机构应当予以拒绝并提出相应意见或建议，确保代理项目合法、合规。</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采购代理机构必须对采购人单位信息进行保密，在未经采购人事先书面同意的情况下，任何时候均不得将招标信息的任何内容或者从采购人处知晓的关于采购人单位的任何信息泄露给任何其它方。由此造成的影响由代理机构负全责，并取消资格，禁止代理我院任何采购项目，并依法追究其法律责任，上报当地主管部门或监管部门。</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采购代理机构须遵守相关管理规定，接受采购人的满意度评价或考核，接受采购人以任何形式对投标文件内容及采购人认为有必要的相关资料的真实性和有效性进行审查、验证，如不能或拒绝提供视为弃标或违约行为。</w:t>
      </w:r>
    </w:p>
    <w:p>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（二）团队人员要求</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1.项目负责人1名，团队其他人员至少需包括资料员、档案管理人员、现场开标人员（至少2名），须按时按量完成采购人交办的工作。提供上述人员在本单位社保缴纳记录，要求详见烦资格审查部分。</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2.服务期限内若确实需要更换拟派负责人的，须征得采购人的同意，而且更换人员的技术职称和工作经验必须高于或等于拟派人员的技术职称和工作经验；</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3.服务期限内若确实需要更换拟派团队其他人员的，更换人员的技术职称和工作经验必须高于或等于拟派人员的技术职称和工作经验；</w:t>
      </w:r>
    </w:p>
    <w:p>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(三）服务质量要求</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1.代理机构具有履行合同所必须的场所、设施设备和专业技术能力，如监控设备（开评标室均需），电子评标所需电脑设备，纸笔等。</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2.代理机构具有丰富的从事医疗卫生领域的政府采购和招标代理的经验，有经验丰富的法务团队，能及时合理处理招标采购质疑和投诉。</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3.代理机构应有预判项目风险的能力，及时提醒采购人可能存在的风险点和应对措施。在任何情况下，因代理机构的工作失误引起纠纷，代理机构需承担相应责任并视后果轻重给予包括但不局限于暂停委托、无条件解除协议等处罚。</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4.各委托项目的服务期：确定采购代理机构之日起，至所有采购项目的中标通知书发出及依法办理完成各项采购、中标手续并将各项资料完整地移交给采购人，且各方按协议完成保证金和手续费的应付、应收、应退的各项事宜为止。（如有特殊情况采购人取消采购任务或提出终止委托的除外）。</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5.采购代理机构承接每个项目前，应充分了解掌握采购项目需求情况，紧贴项目实际拟制各类采购文书，严禁随意将以往的采购文件复制剪贴，糊弄应付，甚至错漏百出。合同履约过程中，采购人将对入选的采购代理机构实施考评机制，考核超过三次评分为基本合格或一次为不合格的采购代理机构，医院有权单方面解除服务合同。</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6.采购代理机构须按合同约定的内容和时间完成工作。招标采购过程要做出工作进度表给采购人（若需），让采购人了解整个招标工作的进展情况；</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7.采购代理过程中，如遇有投标人质疑、投诉或作出情况说明等，采购代理机构在收到相关资料后，应根据自身专业知识及工作经验，分析原因，积极向采购人提出合法、合规的处理意见建议，并负责对相关问题进行回复。 </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8.采购代理机构的开评标场地应有完善的监控设备，代理机构应保证医院审计科、纪检监察科或上级部门可随时调取开评标现场监控资料，开评标场地在医院内部或交易中心的项目除外。</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9.在服务期限内，由采购人根据工作的特点和要求具体确定时间，代理机构必须在约定的时间内完成相关工作。以下为工作时限一般要求，紧急情况下的时限要求以采购人通知为准：</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（1）采购（招标）前期报建或需求调查阶段（如有），代理机构应在2个工作日内拟定完毕资料文件并传回采购人。 </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采购（招标）文件编制阶段，代理机构应在2个工作日内拟定初稿传采购人审核，在收到采购人修订意见后1个工作日内完成修改，定稿经采购人确认及相关部门审查备案（如需）后，代理机构应在1个工作日内对外发布。</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（3）答疑补遗阶段，代理机构应及时向采购人反馈质疑，提出初步处理建议，并在法定时间（若无法定时间，按采购人内控制度或采购文件执行）内组织答疑、补遗。</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（4）评审（评标）结果公告（公示）阶段，代理机构应当在评标结束后1个工作日内将评标报告送采购人，中标人确定后在法定期限内公告中标结果，按规定发出中标通知书。</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4"/>
          <w:szCs w:val="24"/>
          <w:highlight w:val="none"/>
        </w:rPr>
        <w:t>（5）档案整理阶段，代理机构应在发出成交（中标）通知书后7日内按采购人规定整理1套完整采购（招标）档案资料并移交至采购人指定地点（封存资料的项目代理机构应当及时启封资料，并在启封后2个工作日内移交），并按采购人要求填报项目采购（招标）相关表格，同时代理机构应按规定留存一套完整采购（招标）档案资料存档15年。</w:t>
      </w:r>
    </w:p>
    <w:p>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b/>
          <w:bCs/>
          <w:color w:val="auto"/>
          <w:sz w:val="24"/>
          <w:szCs w:val="24"/>
          <w:highlight w:val="none"/>
        </w:rPr>
        <w:t>提供档案管理制度、档案管理人员基本信息、档案存储地点和照片、档案储存地的房屋购买或房屋租赁的合同（原件必查），中标后采购人有权进行实地考察并不定期查看归档情况，若发现虚假应标，采购人有权直接解除合同。</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0" w:name="_Toc1361"/>
      <w:bookmarkStart w:id="31" w:name="_Toc8163"/>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8"/>
          <w:szCs w:val="28"/>
          <w:highlight w:val="none"/>
        </w:rPr>
        <w:t>三、采购代理服务费的收取标准</w:t>
      </w:r>
      <w:bookmarkEnd w:id="30"/>
      <w:bookmarkEnd w:id="31"/>
    </w:p>
    <w:p>
      <w:pPr>
        <w:pStyle w:val="13"/>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（一）项目代理服务费分为“按标准下浮率收费”、“最低收费”、“浮动收费”三种方式： </w:t>
      </w:r>
    </w:p>
    <w:p>
      <w:pPr>
        <w:pStyle w:val="13"/>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1.按标准收费：根据以下标准并结合所投折扣率进行计算（折扣率为固定值，不得为区间值，计算后精确到小数点后两位。）</w:t>
      </w:r>
    </w:p>
    <w:p>
      <w:pPr>
        <w:pStyle w:val="13"/>
        <w:ind w:firstLine="480" w:firstLineChars="200"/>
        <w:rPr>
          <w:rFonts w:hint="eastAsia" w:ascii="微软雅黑" w:hAnsi="微软雅黑" w:eastAsia="微软雅黑" w:cs="微软雅黑"/>
          <w:color w:val="auto"/>
          <w:highlight w:val="none"/>
        </w:rPr>
      </w:pPr>
    </w:p>
    <w:p>
      <w:pPr>
        <w:pStyle w:val="13"/>
        <w:ind w:firstLine="480" w:firstLineChars="200"/>
        <w:rPr>
          <w:rFonts w:hint="eastAsia" w:ascii="微软雅黑" w:hAnsi="微软雅黑" w:eastAsia="微软雅黑" w:cs="微软雅黑"/>
          <w:strike/>
          <w:color w:val="auto"/>
          <w:highlight w:val="none"/>
        </w:rPr>
      </w:pPr>
    </w:p>
    <w:tbl>
      <w:tblPr>
        <w:tblStyle w:val="14"/>
        <w:tblpPr w:leftFromText="180" w:rightFromText="180" w:vertAnchor="text" w:horzAnchor="page" w:tblpX="1764" w:tblpY="-5"/>
        <w:tblOverlap w:val="never"/>
        <w:tblW w:w="8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2"/>
        <w:gridCol w:w="1833"/>
        <w:gridCol w:w="1767"/>
        <w:gridCol w:w="2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3112" w:type="dxa"/>
            <w:tcBorders>
              <w:tl2br w:val="single" w:color="auto" w:sz="4" w:space="0"/>
            </w:tcBorders>
          </w:tcPr>
          <w:p>
            <w:pPr>
              <w:spacing w:line="520" w:lineRule="exact"/>
              <w:ind w:firstLine="1682" w:firstLineChars="801"/>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635"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pt;margin-top:-0.5pt;height:0.05pt;width:0.05pt;z-index:251659264;mso-width-relative:page;mso-height-relative:page;" filled="f" stroked="t" coordsize="21600,21600" o:allowincell="f" o:gfxdata="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8+&#10;+YPWAAAACAEAAA8AAAAAAAAAAQAgAAAAIgAAAGRycy9kb3ducmV2LnhtbFBLAQIUABQAAAAIAIdO&#10;4kBFlFeY7AEAAOQDAAAOAAAAAAAAAAEAIAAAACUBAABkcnMvZTJvRG9jLnhtbFBLBQYAAAAABgAG&#10;AFkBAACDBQAAAAA=&#10;">
                      <v:fill on="f" focussize="0,0"/>
                      <v:stroke color="#000000" joinstyle="round"/>
                      <v:imagedata o:title=""/>
                      <o:lock v:ext="edit" aspectratio="f"/>
                    </v:line>
                  </w:pict>
                </mc:Fallback>
              </mc:AlternateContent>
            </w:r>
            <w:r>
              <w:rPr>
                <w:rFonts w:hint="eastAsia" w:ascii="微软雅黑" w:hAnsi="微软雅黑" w:eastAsia="微软雅黑" w:cs="微软雅黑"/>
                <w:color w:val="auto"/>
                <w:sz w:val="21"/>
                <w:szCs w:val="21"/>
                <w:highlight w:val="none"/>
              </w:rPr>
              <w:t>招标类型</w:t>
            </w:r>
          </w:p>
          <w:p>
            <w:pPr>
              <w:spacing w:line="520" w:lineRule="exact"/>
              <w:ind w:firstLine="210" w:firstLineChars="10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中标金额（万元）</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货物招标</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服务招标</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100以下</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1.5%</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1.5%</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100-200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1.1%</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0.8%</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200-500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1.08%</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0.78%</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500-1000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0.76%</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0.43%</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1000-5000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0.45%</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0.23%</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5000-10000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0.23%</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0.09%</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10000-100000</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0.045%</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0.045%</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1000000以上</w:t>
            </w:r>
          </w:p>
        </w:tc>
        <w:tc>
          <w:tcPr>
            <w:tcW w:w="1833"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0.009%</w:t>
            </w:r>
          </w:p>
        </w:tc>
        <w:tc>
          <w:tcPr>
            <w:tcW w:w="1767"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0.009%</w:t>
            </w:r>
          </w:p>
        </w:tc>
        <w:tc>
          <w:tcPr>
            <w:tcW w:w="2066" w:type="dxa"/>
            <w:vAlign w:val="center"/>
          </w:tcPr>
          <w:p>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0.009%</w:t>
            </w:r>
          </w:p>
        </w:tc>
      </w:tr>
    </w:tbl>
    <w:p>
      <w:pPr>
        <w:pStyle w:val="13"/>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2.最低收费：当“按标准下浮率收费”计算出的采购代理费低于“最低收费”人民币叁仟元整时，采购代理费按“最低收费”人民币叁仟元整计取。</w:t>
      </w:r>
    </w:p>
    <w:p>
      <w:pPr>
        <w:pStyle w:val="13"/>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3.浮动收费：若发生国家政策调整等不可抗力因素，代理服务费可进行适当调整，具体金额与代理机构协商确定。</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代理服务费包含了采购人委托的招标、采购前期工作、咨询费、采购项目依法依规在相关指定媒体（含报纸）发布招标（采购）公告的刊登费用、专家抽取费用（招标代理机构需自行承担专家抽取费用）、开评标场地使用费、评标（评审）费（包括但不限于评审费、因招标失败多次产生的评审费、进口产品论证、配置技术论证、采购文件论证等费用、因采购人直接申请非招标采购方式须邀请专家对项目作相关评审证明意见所需费用、因招标失败需邀请专家对招标文件评审是否具有不合理条款的论证意见所需费用、评标（评审）期间评标委员会成员的误餐费、交通费、住宿费等需要抽取或邀请专家参与的费用）、处理质疑投诉费、资料费其他等，为完成招标采购全流程以及资料的送审、移交、储存、管理过程中发生的所有费用。因成交代理机构自身原因造成漏报、少报皆由其自行承担责任，报价不可更改。</w:t>
      </w:r>
    </w:p>
    <w:p>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采购人不向成交代理机构支付任何费用（代垫费用除外）。在每个代理项目的采购文件中，供应商的报价中应涵盖代理服务费，采购代理机构必须在相应的采购文件中明确注明代理服务费。多次招标后产生中标人，采购代理机构只能收取一次采购代理服务费。若通过重庆市政府采购云平台采购，平台费用由医院承担。</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2" w:name="_Toc5270"/>
      <w:bookmarkStart w:id="33" w:name="_Toc17937"/>
      <w:r>
        <w:rPr>
          <w:rFonts w:hint="eastAsia" w:ascii="微软雅黑" w:hAnsi="微软雅黑" w:eastAsia="微软雅黑" w:cs="微软雅黑"/>
          <w:color w:val="auto"/>
          <w:sz w:val="28"/>
          <w:szCs w:val="28"/>
          <w:highlight w:val="none"/>
        </w:rPr>
        <w:t>四、委派方式</w:t>
      </w:r>
      <w:bookmarkEnd w:id="32"/>
      <w:bookmarkEnd w:id="33"/>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采购人根据《重庆市财政局关于印发《重庆市政府集中采购目录及采购限额标准》的通知》渝财规〔2023〕10号（后期若有新规定，按最新规定执行），</w:t>
      </w:r>
      <w:bookmarkStart w:id="34" w:name="_Toc485989042"/>
      <w:r>
        <w:rPr>
          <w:rFonts w:hint="eastAsia" w:ascii="微软雅黑" w:hAnsi="微软雅黑" w:eastAsia="微软雅黑" w:cs="微软雅黑"/>
          <w:color w:val="auto"/>
          <w:sz w:val="24"/>
          <w:szCs w:val="24"/>
          <w:highlight w:val="none"/>
        </w:rPr>
        <w:t>按服务周期一年与成交代理机构签订委托协议。若成交数量大于1，则按照评审排名先后，采用顺序轮候的方式开展委托事项，一事一委派。</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5" w:name="_Toc8284"/>
      <w:bookmarkStart w:id="36" w:name="_Toc5847"/>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8"/>
          <w:szCs w:val="28"/>
          <w:highlight w:val="none"/>
        </w:rPr>
        <w:t>五、</w:t>
      </w:r>
      <w:bookmarkStart w:id="37" w:name="_Toc117174820"/>
      <w:r>
        <w:rPr>
          <w:rFonts w:hint="eastAsia" w:ascii="微软雅黑" w:hAnsi="微软雅黑" w:eastAsia="微软雅黑" w:cs="微软雅黑"/>
          <w:color w:val="auto"/>
          <w:sz w:val="28"/>
          <w:szCs w:val="28"/>
          <w:highlight w:val="none"/>
        </w:rPr>
        <w:t>考核管理</w:t>
      </w:r>
      <w:bookmarkEnd w:id="35"/>
      <w:bookmarkEnd w:id="36"/>
      <w:bookmarkEnd w:id="37"/>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（一）采购人将制定相应的考核办法，考核频率为按项目对招标代理机构进行考核评估。服务期内，采购人有权对考核办法、考核频次进行调整。</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（二）有下列情况之一的，经调查核实后采购人有权解除合同，并保留向行政主管部门投诉的权利：</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1.在相关部门查询系统中存在不良记录的；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2.拒绝承担委托人的代理业务，或者擅自将受托项目转委托给第三方承担，或者未经采购人同意，擅自变更项目组成员的；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3.考核超过三次评分为基本合格或一次为不合格的代理机构，采购人有权提交院办公会通过后终止其代理协议；</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4.在履约期内因故放弃代理服务累计达两次的；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5.向他人透露开标评审（评标）信息的行为，导致医院受到质疑、投诉或处罚的；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6.违反法律法规和医院规定的招标工作程序、纪律要求的；</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7.其他不按合同履行职责，违反政策规定，造成采购人利益损失的。</w:t>
      </w:r>
    </w:p>
    <w:p>
      <w:pPr>
        <w:pStyle w:val="18"/>
        <w:jc w:val="center"/>
        <w:rPr>
          <w:rFonts w:hint="eastAsia" w:ascii="宋体" w:hAnsi="宋体" w:cs="宋体"/>
          <w:color w:val="auto"/>
          <w:sz w:val="24"/>
          <w:szCs w:val="24"/>
          <w:highlight w:val="none"/>
        </w:rPr>
      </w:pPr>
    </w:p>
    <w:p>
      <w:pPr>
        <w:pStyle w:val="18"/>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代理机构服务质量项目考核表（按采购项目为单位考核）</w:t>
      </w:r>
    </w:p>
    <w:p>
      <w:pPr>
        <w:rPr>
          <w:color w:val="auto"/>
          <w:sz w:val="24"/>
          <w:szCs w:val="24"/>
          <w:highlight w:val="none"/>
        </w:rPr>
      </w:pPr>
    </w:p>
    <w:tbl>
      <w:tblPr>
        <w:tblStyle w:val="15"/>
        <w:tblW w:w="9566" w:type="dxa"/>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981"/>
        <w:gridCol w:w="891"/>
        <w:gridCol w:w="1700"/>
        <w:gridCol w:w="2626"/>
        <w:gridCol w:w="1235"/>
        <w:gridCol w:w="1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tcPr>
          <w:p>
            <w:pPr>
              <w:widowControl/>
              <w:jc w:val="left"/>
              <w:rPr>
                <w:rFonts w:hint="eastAsia" w:ascii="宋体" w:hAnsi="宋体" w:cs="宋体"/>
                <w:b/>
                <w:bCs/>
                <w:color w:val="auto"/>
                <w:kern w:val="0"/>
                <w:sz w:val="24"/>
                <w:szCs w:val="24"/>
                <w:highlight w:val="none"/>
                <w:lang w:bidi="ar"/>
              </w:rPr>
            </w:pPr>
            <w:r>
              <w:rPr>
                <w:rFonts w:hint="eastAsia" w:ascii="宋体" w:hAnsi="宋体" w:cs="宋体"/>
                <w:b/>
                <w:bCs/>
                <w:color w:val="auto"/>
                <w:kern w:val="0"/>
                <w:sz w:val="24"/>
                <w:szCs w:val="24"/>
                <w:highlight w:val="none"/>
                <w:lang w:bidi="ar"/>
              </w:rPr>
              <w:t xml:space="preserve">项目名称 </w:t>
            </w:r>
          </w:p>
        </w:tc>
        <w:tc>
          <w:tcPr>
            <w:tcW w:w="6985" w:type="dxa"/>
            <w:gridSpan w:val="4"/>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tcPr>
          <w:p>
            <w:pPr>
              <w:pStyle w:val="18"/>
              <w:ind w:left="0"/>
              <w:rPr>
                <w:rFonts w:hint="eastAsia" w:ascii="宋体" w:hAnsi="宋体" w:cs="宋体"/>
                <w:b/>
                <w:bCs/>
                <w:color w:val="auto"/>
                <w:kern w:val="2"/>
                <w:sz w:val="24"/>
                <w:szCs w:val="24"/>
                <w:highlight w:val="none"/>
                <w:lang w:bidi="ar"/>
              </w:rPr>
            </w:pPr>
            <w:r>
              <w:rPr>
                <w:rFonts w:hint="eastAsia" w:ascii="宋体" w:hAnsi="宋体" w:cs="宋体"/>
                <w:b/>
                <w:bCs/>
                <w:color w:val="auto"/>
                <w:kern w:val="2"/>
                <w:sz w:val="24"/>
                <w:szCs w:val="24"/>
                <w:highlight w:val="none"/>
                <w:lang w:bidi="ar"/>
              </w:rPr>
              <w:t>代理机构名称</w:t>
            </w:r>
          </w:p>
        </w:tc>
        <w:tc>
          <w:tcPr>
            <w:tcW w:w="6985" w:type="dxa"/>
            <w:gridSpan w:val="4"/>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restart"/>
          </w:tcPr>
          <w:p>
            <w:pPr>
              <w:widowControl/>
              <w:jc w:val="left"/>
              <w:rPr>
                <w:rFonts w:hint="eastAsia" w:ascii="宋体" w:hAnsi="宋体" w:cs="宋体"/>
                <w:color w:val="auto"/>
                <w:sz w:val="24"/>
                <w:szCs w:val="24"/>
                <w:highlight w:val="none"/>
              </w:rPr>
            </w:pPr>
            <w:r>
              <w:rPr>
                <w:rFonts w:hint="eastAsia" w:ascii="宋体" w:hAnsi="宋体" w:cs="宋体"/>
                <w:b/>
                <w:bCs/>
                <w:color w:val="auto"/>
                <w:kern w:val="0"/>
                <w:sz w:val="24"/>
                <w:szCs w:val="24"/>
                <w:highlight w:val="none"/>
                <w:lang w:bidi="ar"/>
              </w:rPr>
              <w:t xml:space="preserve">代理项目人员组成 </w:t>
            </w:r>
          </w:p>
        </w:tc>
        <w:tc>
          <w:tcPr>
            <w:tcW w:w="1700" w:type="dxa"/>
          </w:tcPr>
          <w:p>
            <w:pPr>
              <w:widowControl/>
              <w:jc w:val="left"/>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 xml:space="preserve">项目负责人 </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continue"/>
          </w:tcPr>
          <w:p>
            <w:pPr>
              <w:pStyle w:val="18"/>
              <w:ind w:left="0"/>
              <w:rPr>
                <w:rFonts w:hint="eastAsia" w:ascii="宋体" w:hAnsi="宋体" w:cs="宋体"/>
                <w:color w:val="auto"/>
                <w:kern w:val="2"/>
                <w:sz w:val="24"/>
                <w:szCs w:val="24"/>
                <w:highlight w:val="none"/>
              </w:rPr>
            </w:pPr>
          </w:p>
        </w:tc>
        <w:tc>
          <w:tcPr>
            <w:tcW w:w="1700" w:type="dxa"/>
          </w:tcPr>
          <w:p>
            <w:pPr>
              <w:pStyle w:val="18"/>
              <w:ind w:left="0"/>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工作人员</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restart"/>
          </w:tcPr>
          <w:p>
            <w:pPr>
              <w:widowControl/>
              <w:jc w:val="left"/>
              <w:rPr>
                <w:rFonts w:hint="eastAsia" w:ascii="宋体" w:hAnsi="宋体" w:cs="宋体"/>
                <w:color w:val="auto"/>
                <w:sz w:val="24"/>
                <w:szCs w:val="24"/>
                <w:highlight w:val="none"/>
              </w:rPr>
            </w:pPr>
            <w:r>
              <w:rPr>
                <w:rFonts w:hint="eastAsia" w:ascii="宋体" w:hAnsi="宋体" w:cs="宋体"/>
                <w:b/>
                <w:bCs/>
                <w:color w:val="auto"/>
                <w:kern w:val="0"/>
                <w:sz w:val="24"/>
                <w:szCs w:val="24"/>
                <w:highlight w:val="none"/>
                <w:lang w:bidi="ar"/>
              </w:rPr>
              <w:t>招标活动基本信息</w:t>
            </w:r>
          </w:p>
        </w:tc>
        <w:tc>
          <w:tcPr>
            <w:tcW w:w="1700" w:type="dxa"/>
          </w:tcPr>
          <w:p>
            <w:pPr>
              <w:widowControl/>
              <w:jc w:val="left"/>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 xml:space="preserve">公告媒体 </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continue"/>
          </w:tcPr>
          <w:p>
            <w:pPr>
              <w:pStyle w:val="18"/>
              <w:ind w:left="0"/>
              <w:rPr>
                <w:rFonts w:hint="eastAsia" w:ascii="宋体" w:hAnsi="宋体" w:cs="宋体"/>
                <w:color w:val="auto"/>
                <w:kern w:val="2"/>
                <w:sz w:val="24"/>
                <w:szCs w:val="24"/>
                <w:highlight w:val="none"/>
              </w:rPr>
            </w:pPr>
          </w:p>
        </w:tc>
        <w:tc>
          <w:tcPr>
            <w:tcW w:w="1700" w:type="dxa"/>
          </w:tcPr>
          <w:p>
            <w:pPr>
              <w:pStyle w:val="18"/>
              <w:ind w:left="0"/>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lang w:bidi="ar"/>
              </w:rPr>
              <w:t>开评标时间</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81" w:type="dxa"/>
            <w:gridSpan w:val="3"/>
            <w:vMerge w:val="continue"/>
          </w:tcPr>
          <w:p>
            <w:pPr>
              <w:widowControl/>
              <w:jc w:val="left"/>
              <w:rPr>
                <w:rFonts w:hint="eastAsia" w:ascii="宋体" w:hAnsi="宋体" w:cs="宋体"/>
                <w:color w:val="auto"/>
                <w:sz w:val="24"/>
                <w:szCs w:val="24"/>
                <w:highlight w:val="none"/>
              </w:rPr>
            </w:pPr>
          </w:p>
        </w:tc>
        <w:tc>
          <w:tcPr>
            <w:tcW w:w="1700" w:type="dxa"/>
          </w:tcPr>
          <w:p>
            <w:pPr>
              <w:widowControl/>
              <w:jc w:val="left"/>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开评标地点</w:t>
            </w:r>
          </w:p>
        </w:tc>
        <w:tc>
          <w:tcPr>
            <w:tcW w:w="5285" w:type="dxa"/>
            <w:gridSpan w:val="3"/>
          </w:tcPr>
          <w:p>
            <w:pPr>
              <w:pStyle w:val="18"/>
              <w:rPr>
                <w:rFonts w:hint="eastAsia" w:ascii="宋体" w:hAnsi="宋体" w:cs="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pStyle w:val="18"/>
              <w:ind w:left="0"/>
              <w:rPr>
                <w:rFonts w:hint="eastAsia" w:ascii="宋体" w:hAnsi="宋体" w:cs="宋体"/>
                <w:color w:val="auto"/>
                <w:kern w:val="2"/>
                <w:sz w:val="24"/>
                <w:szCs w:val="24"/>
                <w:highlight w:val="none"/>
              </w:rPr>
            </w:pPr>
            <w:r>
              <w:rPr>
                <w:rFonts w:hint="eastAsia" w:ascii="宋体" w:hAnsi="宋体" w:cs="宋体"/>
                <w:b/>
                <w:bCs/>
                <w:color w:val="auto"/>
                <w:kern w:val="2"/>
                <w:sz w:val="24"/>
                <w:szCs w:val="24"/>
                <w:highlight w:val="none"/>
                <w:lang w:bidi="ar"/>
              </w:rPr>
              <w:t>序号</w:t>
            </w:r>
          </w:p>
        </w:tc>
        <w:tc>
          <w:tcPr>
            <w:tcW w:w="6198" w:type="dxa"/>
            <w:gridSpan w:val="4"/>
          </w:tcPr>
          <w:p>
            <w:pPr>
              <w:pStyle w:val="18"/>
              <w:ind w:left="0"/>
              <w:rPr>
                <w:rFonts w:hint="eastAsia" w:ascii="宋体" w:hAnsi="宋体" w:cs="宋体"/>
                <w:color w:val="auto"/>
                <w:kern w:val="2"/>
                <w:sz w:val="24"/>
                <w:szCs w:val="24"/>
                <w:highlight w:val="none"/>
              </w:rPr>
            </w:pPr>
            <w:r>
              <w:rPr>
                <w:rFonts w:hint="eastAsia" w:ascii="宋体" w:hAnsi="宋体" w:cs="宋体"/>
                <w:b/>
                <w:bCs/>
                <w:color w:val="auto"/>
                <w:kern w:val="2"/>
                <w:sz w:val="24"/>
                <w:szCs w:val="24"/>
                <w:highlight w:val="none"/>
                <w:lang w:bidi="ar"/>
              </w:rPr>
              <w:t>考核内容</w:t>
            </w:r>
          </w:p>
        </w:tc>
        <w:tc>
          <w:tcPr>
            <w:tcW w:w="1235" w:type="dxa"/>
          </w:tcPr>
          <w:p>
            <w:pPr>
              <w:widowControl/>
              <w:jc w:val="left"/>
              <w:rPr>
                <w:rFonts w:hint="eastAsia" w:ascii="宋体" w:hAnsi="宋体" w:cs="宋体"/>
                <w:color w:val="auto"/>
                <w:sz w:val="24"/>
                <w:szCs w:val="24"/>
                <w:highlight w:val="none"/>
              </w:rPr>
            </w:pPr>
            <w:r>
              <w:rPr>
                <w:rFonts w:hint="eastAsia" w:ascii="宋体" w:hAnsi="宋体" w:cs="宋体"/>
                <w:b/>
                <w:bCs/>
                <w:color w:val="auto"/>
                <w:kern w:val="0"/>
                <w:sz w:val="24"/>
                <w:szCs w:val="24"/>
                <w:highlight w:val="none"/>
                <w:lang w:bidi="ar"/>
              </w:rPr>
              <w:t>扣分标准</w:t>
            </w:r>
          </w:p>
        </w:tc>
        <w:tc>
          <w:tcPr>
            <w:tcW w:w="1424" w:type="dxa"/>
          </w:tcPr>
          <w:p>
            <w:pPr>
              <w:widowControl/>
              <w:jc w:val="left"/>
              <w:rPr>
                <w:rFonts w:hint="eastAsia" w:ascii="宋体" w:hAnsi="宋体" w:cs="宋体"/>
                <w:color w:val="auto"/>
                <w:sz w:val="24"/>
                <w:szCs w:val="24"/>
                <w:highlight w:val="none"/>
              </w:rPr>
            </w:pPr>
            <w:r>
              <w:rPr>
                <w:rFonts w:hint="eastAsia" w:ascii="宋体" w:hAnsi="宋体" w:cs="宋体"/>
                <w:b/>
                <w:bCs/>
                <w:color w:val="auto"/>
                <w:kern w:val="0"/>
                <w:sz w:val="24"/>
                <w:szCs w:val="24"/>
                <w:highlight w:val="none"/>
                <w:lang w:bidi="ar"/>
              </w:rPr>
              <w:t xml:space="preserve">扣分情况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pP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p>
        </w:tc>
        <w:tc>
          <w:tcPr>
            <w:tcW w:w="981" w:type="dxa"/>
            <w:vMerge w:val="restart"/>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基本行为规范要求及职业道德情况</w:t>
            </w: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开评标地点干净整洁，工作人员着装整洁，语言文明礼貌，不迟到早退，服务态度积极主动</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rPr>
                <w:rFonts w:hint="eastAsia" w:ascii="宋体" w:hAnsi="宋体" w:cs="宋体"/>
                <w:color w:val="auto"/>
                <w:kern w:val="0"/>
                <w:sz w:val="24"/>
                <w:szCs w:val="24"/>
                <w:highlight w:val="none"/>
                <w:lang w:bidi="ar"/>
              </w:rPr>
            </w:pPr>
          </w:p>
        </w:tc>
        <w:tc>
          <w:tcPr>
            <w:tcW w:w="981" w:type="dxa"/>
            <w:vMerge w:val="continue"/>
            <w:vAlign w:val="center"/>
          </w:tcPr>
          <w:p>
            <w:pPr>
              <w:widowControl/>
              <w:rPr>
                <w:rFonts w:hint="eastAsia" w:ascii="宋体" w:hAnsi="宋体" w:cs="宋体"/>
                <w:color w:val="auto"/>
                <w:kern w:val="0"/>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及时完成采购人交办的任务，不随意拖延推脱。</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rPr>
                <w:rFonts w:hint="eastAsia" w:ascii="宋体" w:hAnsi="宋体" w:cs="宋体"/>
                <w:color w:val="auto"/>
                <w:kern w:val="0"/>
                <w:sz w:val="24"/>
                <w:szCs w:val="24"/>
                <w:highlight w:val="none"/>
                <w:lang w:bidi="ar"/>
              </w:rPr>
            </w:pPr>
          </w:p>
        </w:tc>
        <w:tc>
          <w:tcPr>
            <w:tcW w:w="981" w:type="dxa"/>
            <w:vMerge w:val="continue"/>
            <w:vAlign w:val="center"/>
          </w:tcPr>
          <w:p>
            <w:pPr>
              <w:widowControl/>
              <w:rPr>
                <w:rFonts w:hint="eastAsia" w:ascii="宋体" w:hAnsi="宋体" w:cs="宋体"/>
                <w:color w:val="auto"/>
                <w:kern w:val="0"/>
                <w:sz w:val="24"/>
                <w:szCs w:val="24"/>
                <w:highlight w:val="none"/>
                <w:lang w:bidi="ar"/>
              </w:rPr>
            </w:pPr>
          </w:p>
        </w:tc>
        <w:tc>
          <w:tcPr>
            <w:tcW w:w="5217" w:type="dxa"/>
            <w:gridSpan w:val="3"/>
            <w:vAlign w:val="center"/>
          </w:tcPr>
          <w:p>
            <w:pPr>
              <w:widowControl/>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招标工作人员不遵守纪律规范要求，有影响评审（评标）委员会成员职业道德的行为</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发现一次扣10分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pP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981" w:type="dxa"/>
            <w:vMerge w:val="restart"/>
            <w:vAlign w:val="center"/>
          </w:tcPr>
          <w:p>
            <w:pPr>
              <w:widowControl/>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文件编制情况</w:t>
            </w:r>
          </w:p>
        </w:tc>
        <w:tc>
          <w:tcPr>
            <w:tcW w:w="5217" w:type="dxa"/>
            <w:gridSpan w:val="3"/>
            <w:vAlign w:val="center"/>
          </w:tcPr>
          <w:p>
            <w:pPr>
              <w:widowControl/>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文件编制使用最新范本</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rPr>
                <w:rFonts w:hint="eastAsia" w:ascii="宋体" w:hAnsi="宋体" w:cs="宋体"/>
                <w:color w:val="auto"/>
                <w:sz w:val="24"/>
                <w:szCs w:val="24"/>
                <w:highlight w:val="none"/>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按时限要求编制/修改采购人所需资料文件</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编制文件认真、细致，内容完整齐全，招标范围明确，无缺、漏项，技术、经济条款清晰</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文件编制内容有明显倾向性，不符合法律法规要求，致使医院受到质疑、投诉或处罚的。</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发现一处扣20分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709" w:type="dxa"/>
            <w:vMerge w:val="restart"/>
            <w:vAlign w:val="center"/>
          </w:tcPr>
          <w:p>
            <w:pPr>
              <w:pStyle w:val="18"/>
              <w:ind w:left="0"/>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3</w:t>
            </w:r>
          </w:p>
        </w:tc>
        <w:tc>
          <w:tcPr>
            <w:tcW w:w="981" w:type="dxa"/>
            <w:vMerge w:val="restart"/>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组织协调服务情况</w:t>
            </w:r>
          </w:p>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工作人员配备齐全，准备工作充分，采购前期工作或开评标工作组织有序，程序合法，记录准确</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更换团队负责人、因故放弃代理服务的</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发现一次扣20分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尽力满足采购人、评委会成员的合理要求。</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pPr>
              <w:pStyle w:val="18"/>
              <w:ind w:left="0"/>
              <w:rPr>
                <w:rFonts w:hint="eastAsia" w:ascii="宋体" w:hAnsi="宋体" w:cs="宋体"/>
                <w:b/>
                <w:bCs/>
                <w:color w:val="auto"/>
                <w:kern w:val="2"/>
                <w:sz w:val="24"/>
                <w:szCs w:val="24"/>
                <w:highlight w:val="none"/>
                <w:lang w:bidi="ar"/>
              </w:rPr>
            </w:pPr>
            <w:r>
              <w:rPr>
                <w:rFonts w:hint="eastAsia" w:ascii="宋体" w:hAnsi="宋体" w:cs="宋体"/>
                <w:color w:val="auto"/>
                <w:kern w:val="2"/>
                <w:sz w:val="24"/>
                <w:szCs w:val="24"/>
                <w:highlight w:val="none"/>
                <w:lang w:bidi="ar"/>
              </w:rPr>
              <w:t>4</w:t>
            </w:r>
          </w:p>
        </w:tc>
        <w:tc>
          <w:tcPr>
            <w:tcW w:w="981" w:type="dxa"/>
            <w:vMerge w:val="restart"/>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釆购活动开展情况</w:t>
            </w: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公告发布程序合法合规，规范按项目类别抽取评标专家</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核查了采购文件要求核查的信息，准确无误；评标报告填写规范，签字齐全</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投标人质疑投诉处理规范、及时</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发现一处不符扣5分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981" w:type="dxa"/>
            <w:vMerge w:val="continue"/>
            <w:vAlign w:val="center"/>
          </w:tcPr>
          <w:p>
            <w:pPr>
              <w:pStyle w:val="18"/>
              <w:ind w:left="0"/>
              <w:rPr>
                <w:rFonts w:hint="eastAsia" w:ascii="宋体" w:hAnsi="宋体" w:cs="宋体"/>
                <w:b/>
                <w:bCs/>
                <w:color w:val="auto"/>
                <w:kern w:val="2"/>
                <w:sz w:val="24"/>
                <w:szCs w:val="24"/>
                <w:highlight w:val="none"/>
                <w:lang w:bidi="ar"/>
              </w:rPr>
            </w:pPr>
          </w:p>
        </w:tc>
        <w:tc>
          <w:tcPr>
            <w:tcW w:w="5217" w:type="dxa"/>
            <w:gridSpan w:val="3"/>
            <w:vAlign w:val="center"/>
          </w:tcPr>
          <w:p>
            <w:pPr>
              <w:widowControl/>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开评标现场有完善的监控设备，可供医院审计或相关部门随时调取开评标现场录像</w:t>
            </w:r>
          </w:p>
        </w:tc>
        <w:tc>
          <w:tcPr>
            <w:tcW w:w="1235" w:type="dxa"/>
          </w:tcPr>
          <w:p>
            <w:pPr>
              <w:widowControl/>
              <w:jc w:val="left"/>
              <w:rPr>
                <w:rFonts w:hint="eastAsia" w:ascii="宋体" w:hAnsi="宋体" w:cs="宋体"/>
                <w:b/>
                <w:bCs/>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b/>
                <w:bCs/>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pPr>
              <w:pStyle w:val="18"/>
              <w:ind w:left="0"/>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5</w:t>
            </w:r>
          </w:p>
        </w:tc>
        <w:tc>
          <w:tcPr>
            <w:tcW w:w="981" w:type="dxa"/>
            <w:vMerge w:val="restart"/>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其他服务情况</w:t>
            </w: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在履约过程中，有风险预判能力，积极提出并实施了科学的措施，保证了代理合同的有效实施</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交流工作准备充分、内容全面、回答问题准确</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发现一次不符扣5分</w:t>
            </w:r>
          </w:p>
        </w:tc>
        <w:tc>
          <w:tcPr>
            <w:tcW w:w="1424" w:type="dxa"/>
          </w:tcPr>
          <w:p>
            <w:pPr>
              <w:widowControl/>
              <w:jc w:val="left"/>
              <w:rPr>
                <w:rFonts w:hint="eastAsia" w:ascii="宋体" w:hAnsi="宋体" w:cs="宋体"/>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档案管理不规范（含监控资料）；档案递交/提供不及时；</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发现一次扣5分</w:t>
            </w:r>
          </w:p>
        </w:tc>
        <w:tc>
          <w:tcPr>
            <w:tcW w:w="1424" w:type="dxa"/>
          </w:tcPr>
          <w:p>
            <w:pPr>
              <w:widowControl/>
              <w:jc w:val="left"/>
              <w:rPr>
                <w:rFonts w:hint="eastAsia" w:ascii="宋体" w:hAnsi="宋体" w:cs="宋体"/>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18"/>
              <w:ind w:left="0"/>
              <w:rPr>
                <w:rFonts w:hint="eastAsia" w:ascii="宋体" w:hAnsi="宋体" w:cs="宋体"/>
                <w:color w:val="auto"/>
                <w:kern w:val="2"/>
                <w:sz w:val="24"/>
                <w:szCs w:val="24"/>
                <w:highlight w:val="none"/>
                <w:lang w:bidi="ar"/>
              </w:rPr>
            </w:pPr>
          </w:p>
        </w:tc>
        <w:tc>
          <w:tcPr>
            <w:tcW w:w="981" w:type="dxa"/>
            <w:vMerge w:val="continue"/>
            <w:vAlign w:val="center"/>
          </w:tcPr>
          <w:p>
            <w:pPr>
              <w:pStyle w:val="18"/>
              <w:ind w:left="0"/>
              <w:rPr>
                <w:rFonts w:hint="eastAsia" w:ascii="宋体" w:hAnsi="宋体" w:cs="宋体"/>
                <w:color w:val="auto"/>
                <w:kern w:val="2"/>
                <w:sz w:val="24"/>
                <w:szCs w:val="24"/>
                <w:highlight w:val="none"/>
                <w:lang w:bidi="ar"/>
              </w:rPr>
            </w:pPr>
          </w:p>
        </w:tc>
        <w:tc>
          <w:tcPr>
            <w:tcW w:w="5217" w:type="dxa"/>
            <w:gridSpan w:val="3"/>
            <w:vAlign w:val="center"/>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其他不符合遴选文件、响应文件或合同的情况</w:t>
            </w:r>
          </w:p>
        </w:tc>
        <w:tc>
          <w:tcPr>
            <w:tcW w:w="1235" w:type="dxa"/>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发现一处扣5分</w:t>
            </w:r>
          </w:p>
        </w:tc>
        <w:tc>
          <w:tcPr>
            <w:tcW w:w="1424" w:type="dxa"/>
          </w:tcPr>
          <w:p>
            <w:pPr>
              <w:widowControl/>
              <w:jc w:val="left"/>
              <w:rPr>
                <w:rFonts w:hint="eastAsia" w:ascii="宋体" w:hAnsi="宋体" w:cs="宋体"/>
                <w:color w:val="auto"/>
                <w:kern w:val="0"/>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备注：得分80分及以上的为合格，80分以下至 70分的为基本合格，70分以下的为不合格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考核得分：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考核等级：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项目负责人确认：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考核科室经办人：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7"/>
          </w:tcPr>
          <w:p>
            <w:pPr>
              <w:widowControl/>
              <w:jc w:val="left"/>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考核科室负责人：</w:t>
            </w:r>
          </w:p>
        </w:tc>
      </w:tr>
    </w:tbl>
    <w:p>
      <w:pPr>
        <w:autoSpaceDE w:val="0"/>
        <w:autoSpaceDN w:val="0"/>
        <w:adjustRightInd w:val="0"/>
        <w:snapToGrid w:val="0"/>
        <w:spacing w:line="520" w:lineRule="exact"/>
        <w:rPr>
          <w:rFonts w:hint="eastAsia" w:ascii="微软雅黑" w:hAnsi="微软雅黑" w:eastAsia="微软雅黑" w:cs="微软雅黑"/>
          <w:color w:val="auto"/>
          <w:sz w:val="24"/>
          <w:szCs w:val="24"/>
          <w:highlight w:val="none"/>
        </w:rPr>
      </w:pP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8" w:name="_Toc6146"/>
      <w:bookmarkStart w:id="39" w:name="_Toc18358"/>
      <w:r>
        <w:rPr>
          <w:rFonts w:hint="eastAsia" w:ascii="宋体" w:hAnsi="宋体" w:cs="宋体"/>
          <w:color w:val="auto"/>
          <w:kern w:val="0"/>
          <w:sz w:val="20"/>
          <w:highlight w:val="none"/>
          <w:shd w:val="clear" w:color="auto" w:fill="FFFFFF"/>
          <w:lang w:bidi="ar"/>
        </w:rPr>
        <w:t>※</w:t>
      </w:r>
      <w:r>
        <w:rPr>
          <w:rFonts w:hint="eastAsia" w:ascii="微软雅黑" w:hAnsi="微软雅黑" w:eastAsia="微软雅黑" w:cs="微软雅黑"/>
          <w:color w:val="auto"/>
          <w:sz w:val="28"/>
          <w:szCs w:val="28"/>
          <w:highlight w:val="none"/>
        </w:rPr>
        <w:t>六、违约责任</w:t>
      </w:r>
      <w:bookmarkEnd w:id="38"/>
      <w:bookmarkEnd w:id="39"/>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（一）采购代理机构被查证存在弄虚作假、提供不实资料等方式骗取中标的，采购人将解除其服务合同。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采购代理机构及其工作人员有违反国家有关法律法规行为的，采购人有权单方面终止服务合同，将采购代理机构纳入采购人采购代理黑名单，并通报有关部门，依照相关法律法规进行处理；涉嫌犯罪的，依法移交司法机关处理。采购代理机构的违法行为给他人造成损失的，应自行依法承担民事责任。</w:t>
      </w:r>
      <w:r>
        <w:rPr>
          <w:rFonts w:hint="eastAsia" w:ascii="微软雅黑" w:hAnsi="微软雅黑" w:eastAsia="微软雅黑" w:cs="微软雅黑"/>
          <w:color w:val="auto"/>
          <w:sz w:val="24"/>
          <w:szCs w:val="24"/>
          <w:highlight w:val="none"/>
        </w:rPr>
        <w:br w:type="textWrapping"/>
      </w:r>
      <w:r>
        <w:rPr>
          <w:rFonts w:hint="eastAsia" w:ascii="微软雅黑" w:hAnsi="微软雅黑" w:eastAsia="微软雅黑" w:cs="微软雅黑"/>
          <w:color w:val="auto"/>
          <w:sz w:val="24"/>
          <w:szCs w:val="24"/>
          <w:highlight w:val="none"/>
        </w:rPr>
        <w:t xml:space="preserve">    （三）采购代理机构存在《政府采购货物和服务招标投标管理办法》（财政部令第87号）第七十八条中所列明的违法行为情形之一的，采购人有权单方面终止服务合同，并将其违法行为通报有关部门，由有关部门责令限期整改，情节严重的，给予警告，对直接负责的主管人员和其他直接责任人员，由其行政主管部门或者有关机关给予处分，并予通报；采购代理机构有违法所得的，没收违法所得。</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（四）采购代理机构在采购代理过程中，如不按照本比选文件要求的服务内容、服务要求等提供采购代理服务，且经采购人书面通知要求整改而未整改的，采购人有权单方面终止服务合同。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采购代理机构不得因业务量大小、难易程度、地域远近而拒绝采购人委托的采购项目和工作内容，若无故不接受代理项目的，采购人有权单方面终止服务合同。在履约期内因故放弃代理服务累计达两次的，采购人有权单方面终止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（六）采购代理机构转包或未经采购人同意分包承接项目的，采购人将解除其服务合同。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（七）采购代理机构受到行政严重处罚或被司法机关认定存在商业贿赂等违法行为，采购人将解除其服务合同。</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（八）如国家及本市相关法律法规发生变化或与现行法律法规有冲突，则按相关法律法规执行，采购人有权终止合同。</w:t>
      </w:r>
    </w:p>
    <w:p>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40" w:name="_Toc16824"/>
      <w:bookmarkStart w:id="41" w:name="_Toc19287"/>
      <w:r>
        <w:rPr>
          <w:rFonts w:hint="eastAsia" w:ascii="微软雅黑" w:hAnsi="微软雅黑" w:eastAsia="微软雅黑" w:cs="微软雅黑"/>
          <w:color w:val="auto"/>
          <w:sz w:val="28"/>
          <w:szCs w:val="28"/>
          <w:highlight w:val="none"/>
        </w:rPr>
        <w:t>七、</w:t>
      </w:r>
      <w:bookmarkStart w:id="42" w:name="_Toc444601165"/>
      <w:bookmarkStart w:id="43" w:name="_Toc448308270"/>
      <w:bookmarkStart w:id="44" w:name="_Toc464133372"/>
      <w:r>
        <w:rPr>
          <w:rFonts w:hint="eastAsia" w:ascii="微软雅黑" w:hAnsi="微软雅黑" w:eastAsia="微软雅黑" w:cs="微软雅黑"/>
          <w:color w:val="auto"/>
          <w:sz w:val="28"/>
          <w:szCs w:val="28"/>
          <w:highlight w:val="none"/>
        </w:rPr>
        <w:t>其他</w:t>
      </w:r>
      <w:bookmarkEnd w:id="40"/>
      <w:bookmarkEnd w:id="41"/>
      <w:bookmarkEnd w:id="42"/>
      <w:bookmarkEnd w:id="43"/>
      <w:bookmarkEnd w:id="44"/>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（一）代理机构必须在响应文件中对以上条款和服务承诺明确列出，承诺内容必须达到本篇及比选文件其他条款的要求。</w:t>
      </w:r>
    </w:p>
    <w:p>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（二）其他未尽事宜由供需双方再另行约定。</w:t>
      </w:r>
      <w:bookmarkEnd w:id="34"/>
    </w:p>
    <w:p>
      <w:pPr>
        <w:autoSpaceDE w:val="0"/>
        <w:autoSpaceDN w:val="0"/>
        <w:adjustRightInd w:val="0"/>
        <w:snapToGrid w:val="0"/>
        <w:spacing w:line="520" w:lineRule="exact"/>
        <w:rPr>
          <w:rFonts w:hint="eastAsia" w:ascii="微软雅黑" w:hAnsi="微软雅黑" w:eastAsia="微软雅黑" w:cs="微软雅黑"/>
          <w:color w:val="auto"/>
          <w:sz w:val="24"/>
          <w:szCs w:val="24"/>
          <w:highlight w:val="none"/>
        </w:rPr>
        <w:sectPr>
          <w:headerReference r:id="rId9" w:type="first"/>
          <w:headerReference r:id="rId8" w:type="default"/>
          <w:pgSz w:w="11906" w:h="16838"/>
          <w:pgMar w:top="1985" w:right="1474" w:bottom="1701" w:left="1588" w:header="851" w:footer="1179" w:gutter="0"/>
          <w:cols w:space="720" w:num="1"/>
          <w:titlePg/>
          <w:docGrid w:linePitch="396" w:charSpace="-1260"/>
        </w:sectPr>
      </w:pPr>
    </w:p>
    <w:bookmarkEnd w:id="26"/>
    <w:p>
      <w:pPr>
        <w:pStyle w:val="2"/>
        <w:spacing w:line="360" w:lineRule="auto"/>
        <w:jc w:val="center"/>
        <w:rPr>
          <w:rFonts w:hint="eastAsia" w:ascii="微软雅黑" w:hAnsi="微软雅黑" w:eastAsia="微软雅黑" w:cs="微软雅黑"/>
          <w:b w:val="0"/>
          <w:color w:val="auto"/>
          <w:sz w:val="36"/>
          <w:szCs w:val="30"/>
          <w:highlight w:val="none"/>
        </w:rPr>
      </w:pPr>
      <w:bookmarkStart w:id="45" w:name="_Toc1620"/>
      <w:r>
        <w:rPr>
          <w:rFonts w:hint="eastAsia" w:ascii="微软雅黑" w:hAnsi="微软雅黑" w:eastAsia="微软雅黑" w:cs="微软雅黑"/>
          <w:b w:val="0"/>
          <w:color w:val="auto"/>
          <w:sz w:val="36"/>
          <w:szCs w:val="30"/>
          <w:highlight w:val="none"/>
        </w:rPr>
        <w:t>第三篇  竞选程序及方法、评审标准、无效响应和</w:t>
      </w:r>
      <w:r>
        <w:rPr>
          <w:rFonts w:hint="eastAsia" w:ascii="微软雅黑" w:hAnsi="微软雅黑" w:eastAsia="微软雅黑" w:cs="微软雅黑"/>
          <w:b w:val="0"/>
          <w:color w:val="auto"/>
          <w:sz w:val="36"/>
          <w:szCs w:val="36"/>
          <w:highlight w:val="none"/>
        </w:rPr>
        <w:t>采购终止</w:t>
      </w:r>
      <w:bookmarkEnd w:id="45"/>
    </w:p>
    <w:p>
      <w:pPr>
        <w:pStyle w:val="3"/>
        <w:spacing w:line="440" w:lineRule="exact"/>
        <w:rPr>
          <w:rFonts w:hint="eastAsia" w:ascii="微软雅黑" w:hAnsi="微软雅黑" w:eastAsia="微软雅黑" w:cs="微软雅黑"/>
          <w:color w:val="auto"/>
          <w:sz w:val="24"/>
          <w:szCs w:val="24"/>
          <w:highlight w:val="none"/>
        </w:rPr>
      </w:pPr>
      <w:bookmarkStart w:id="46" w:name="_Toc10989"/>
      <w:r>
        <w:rPr>
          <w:rFonts w:hint="eastAsia" w:ascii="微软雅黑" w:hAnsi="微软雅黑" w:eastAsia="微软雅黑" w:cs="微软雅黑"/>
          <w:color w:val="auto"/>
          <w:sz w:val="24"/>
          <w:szCs w:val="24"/>
          <w:highlight w:val="none"/>
        </w:rPr>
        <w:t>一、竞选程序及方法</w:t>
      </w:r>
      <w:bookmarkEnd w:id="46"/>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（一）竞选按竞争性比选文件规定的时间和地点进行，代理机构须有法定代表人或负责人（或其授权代表）参加并签到。</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（二）比选小组对各代理机构的资格条件、比选响应文件的有效性、完整性和响应程度进行审查。各代理机构只有在完全符合要求的前提下，才能参与正式比选。</w:t>
      </w:r>
    </w:p>
    <w:p>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sz w:val="24"/>
          <w:szCs w:val="24"/>
          <w:highlight w:val="none"/>
        </w:rPr>
        <w:t>1、</w:t>
      </w:r>
      <w:r>
        <w:rPr>
          <w:rFonts w:hint="eastAsia" w:ascii="微软雅黑" w:hAnsi="微软雅黑" w:eastAsia="微软雅黑" w:cs="微软雅黑"/>
          <w:color w:val="auto"/>
          <w:kern w:val="0"/>
          <w:sz w:val="24"/>
          <w:szCs w:val="24"/>
          <w:highlight w:val="none"/>
        </w:rPr>
        <w:t>资格性审查。依据法律法规和竞争性比选文件的规定，对比选响应文件中的资格证明等进行审查，以确定代理机构是否具备比选资格。资格性审查资料表如下：</w:t>
      </w:r>
    </w:p>
    <w:tbl>
      <w:tblPr>
        <w:tblStyle w:val="14"/>
        <w:tblW w:w="0" w:type="auto"/>
        <w:tblInd w:w="-2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709"/>
        <w:gridCol w:w="3689"/>
        <w:gridCol w:w="44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pPr>
              <w:jc w:val="center"/>
              <w:rPr>
                <w:rFonts w:hint="eastAsia" w:ascii="微软雅黑" w:hAnsi="微软雅黑" w:eastAsia="微软雅黑"/>
                <w:b/>
                <w:color w:val="auto"/>
                <w:kern w:val="0"/>
                <w:sz w:val="21"/>
                <w:szCs w:val="21"/>
                <w:highlight w:val="none"/>
              </w:rPr>
            </w:pPr>
            <w:r>
              <w:rPr>
                <w:rFonts w:hint="eastAsia" w:ascii="微软雅黑" w:hAnsi="微软雅黑" w:eastAsia="微软雅黑"/>
                <w:b/>
                <w:color w:val="auto"/>
                <w:kern w:val="0"/>
                <w:sz w:val="21"/>
                <w:szCs w:val="21"/>
                <w:highlight w:val="none"/>
              </w:rPr>
              <w:t>序号</w:t>
            </w:r>
          </w:p>
        </w:tc>
        <w:tc>
          <w:tcPr>
            <w:tcW w:w="4398" w:type="dxa"/>
            <w:gridSpan w:val="2"/>
            <w:vAlign w:val="center"/>
          </w:tcPr>
          <w:p>
            <w:pPr>
              <w:jc w:val="center"/>
              <w:rPr>
                <w:rFonts w:hint="eastAsia" w:ascii="微软雅黑" w:hAnsi="微软雅黑" w:eastAsia="微软雅黑"/>
                <w:b/>
                <w:color w:val="auto"/>
                <w:kern w:val="0"/>
                <w:sz w:val="21"/>
                <w:szCs w:val="21"/>
                <w:highlight w:val="none"/>
              </w:rPr>
            </w:pPr>
            <w:r>
              <w:rPr>
                <w:rFonts w:hint="eastAsia" w:ascii="微软雅黑" w:hAnsi="微软雅黑" w:eastAsia="微软雅黑"/>
                <w:b/>
                <w:color w:val="auto"/>
                <w:kern w:val="0"/>
                <w:sz w:val="21"/>
                <w:szCs w:val="21"/>
                <w:highlight w:val="none"/>
              </w:rPr>
              <w:t>检查因素</w:t>
            </w:r>
          </w:p>
        </w:tc>
        <w:tc>
          <w:tcPr>
            <w:tcW w:w="4413" w:type="dxa"/>
            <w:vAlign w:val="center"/>
          </w:tcPr>
          <w:p>
            <w:pPr>
              <w:jc w:val="center"/>
              <w:rPr>
                <w:rFonts w:hint="eastAsia" w:ascii="微软雅黑" w:hAnsi="微软雅黑" w:eastAsia="微软雅黑"/>
                <w:b/>
                <w:color w:val="auto"/>
                <w:kern w:val="0"/>
                <w:sz w:val="21"/>
                <w:szCs w:val="21"/>
                <w:highlight w:val="none"/>
              </w:rPr>
            </w:pPr>
            <w:r>
              <w:rPr>
                <w:rFonts w:hint="eastAsia" w:ascii="微软雅黑" w:hAnsi="微软雅黑" w:eastAsia="微软雅黑"/>
                <w:b/>
                <w:color w:val="auto"/>
                <w:kern w:val="0"/>
                <w:sz w:val="21"/>
                <w:szCs w:val="21"/>
                <w:highlight w:val="none"/>
              </w:rPr>
              <w:t>检查内容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restart"/>
            <w:vAlign w:val="center"/>
          </w:tcPr>
          <w:p>
            <w:pPr>
              <w:jc w:val="cente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（一）</w:t>
            </w:r>
          </w:p>
        </w:tc>
        <w:tc>
          <w:tcPr>
            <w:tcW w:w="709" w:type="dxa"/>
            <w:vMerge w:val="restart"/>
            <w:vAlign w:val="center"/>
          </w:tcPr>
          <w:p>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《中华人民共和国政府采购法》第二十二条规定</w:t>
            </w:r>
          </w:p>
        </w:tc>
        <w:tc>
          <w:tcPr>
            <w:tcW w:w="3689" w:type="dxa"/>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1.具有独立承担民事责任的能力</w:t>
            </w:r>
          </w:p>
        </w:tc>
        <w:tc>
          <w:tcPr>
            <w:tcW w:w="4413" w:type="dxa"/>
            <w:vAlign w:val="center"/>
          </w:tcPr>
          <w:p>
            <w:pP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 xml:space="preserve">1.供应商法人营业执照（副本）（提供复印件）。 </w:t>
            </w:r>
          </w:p>
          <w:p>
            <w:pP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2.供应商法定代表人及授权代表的身份证明和法定代表人授权委托书（若由法定代表人签署响应文件的，则无需提供授权委托书）。</w:t>
            </w:r>
          </w:p>
          <w:p>
            <w:pPr>
              <w:rPr>
                <w:rFonts w:hint="eastAsia" w:ascii="微软雅黑" w:hAnsi="微软雅黑" w:eastAsia="微软雅黑"/>
                <w:color w:val="auto"/>
                <w:sz w:val="21"/>
                <w:szCs w:val="21"/>
                <w:highlight w:val="none"/>
              </w:rPr>
            </w:pPr>
            <w:r>
              <w:rPr>
                <w:rFonts w:hint="eastAsia" w:ascii="微软雅黑" w:hAnsi="微软雅黑" w:eastAsia="微软雅黑" w:cs="微软雅黑"/>
                <w:bCs/>
                <w:color w:val="auto"/>
                <w:kern w:val="0"/>
                <w:sz w:val="21"/>
                <w:szCs w:val="21"/>
                <w:highlight w:val="none"/>
              </w:rPr>
              <w:t>3.供应商法定代表人、授权代表（若有）、项目负责人及团队其他人员开标截止日当月前3个月中任意一个月加盖社保局公章或电子章的社保证明，同时加盖投标人公章（注：授权代表的社保缴费单位须为投标人；法定代表人退休或未缴纳社保，须提供情况说明或相关证明材料，法定代表人或团队其他人员缴纳社保在其他单位的，须提供在其他单位参保的社保证明材料），若法定代表人直接参加投标的，则无需提供授权代表的社保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lang w:val="zh-CN"/>
              </w:rPr>
            </w:pPr>
          </w:p>
        </w:tc>
        <w:tc>
          <w:tcPr>
            <w:tcW w:w="3689" w:type="dxa"/>
            <w:vAlign w:val="center"/>
          </w:tcPr>
          <w:p>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2.</w:t>
            </w:r>
            <w:r>
              <w:rPr>
                <w:rFonts w:hint="eastAsia" w:ascii="微软雅黑" w:hAnsi="微软雅黑" w:eastAsia="微软雅黑"/>
                <w:color w:val="auto"/>
                <w:sz w:val="21"/>
                <w:szCs w:val="21"/>
                <w:highlight w:val="none"/>
              </w:rPr>
              <w:t>具有良好的商业信誉和健全的财务会计制度</w:t>
            </w:r>
          </w:p>
        </w:tc>
        <w:tc>
          <w:tcPr>
            <w:tcW w:w="4413" w:type="dxa"/>
            <w:vMerge w:val="restart"/>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提供“基本资格条件承诺函”</w:t>
            </w:r>
            <w:r>
              <w:rPr>
                <w:rFonts w:hint="eastAsia" w:ascii="宋体" w:hAnsi="宋体" w:cs="宋体"/>
                <w:color w:val="auto"/>
                <w:sz w:val="21"/>
                <w:szCs w:val="21"/>
                <w:highlight w:val="none"/>
                <w:lang w:val="zh-CN"/>
              </w:rPr>
              <w:t>（见格式文件）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lang w:val="zh-CN"/>
              </w:rPr>
            </w:pPr>
          </w:p>
        </w:tc>
        <w:tc>
          <w:tcPr>
            <w:tcW w:w="3689" w:type="dxa"/>
            <w:vAlign w:val="center"/>
          </w:tcPr>
          <w:p>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3.具有履行合同所必需的设备和专业技术能力</w:t>
            </w:r>
          </w:p>
        </w:tc>
        <w:tc>
          <w:tcPr>
            <w:tcW w:w="4413" w:type="dxa"/>
            <w:vMerge w:val="continue"/>
            <w:vAlign w:val="center"/>
          </w:tcPr>
          <w:p>
            <w:pPr>
              <w:rPr>
                <w:rFonts w:hint="eastAsia" w:ascii="微软雅黑" w:hAnsi="微软雅黑" w:eastAsia="微软雅黑"/>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lang w:val="zh-CN"/>
              </w:rPr>
            </w:pPr>
          </w:p>
        </w:tc>
        <w:tc>
          <w:tcPr>
            <w:tcW w:w="3689" w:type="dxa"/>
            <w:vAlign w:val="center"/>
          </w:tcPr>
          <w:p>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4.有依法缴纳税收和社会保障金的良好记录</w:t>
            </w:r>
          </w:p>
        </w:tc>
        <w:tc>
          <w:tcPr>
            <w:tcW w:w="4413" w:type="dxa"/>
            <w:vMerge w:val="continue"/>
            <w:vAlign w:val="center"/>
          </w:tcPr>
          <w:p>
            <w:pPr>
              <w:rPr>
                <w:rFonts w:hint="eastAsia" w:ascii="微软雅黑" w:hAnsi="微软雅黑" w:eastAsia="微软雅黑"/>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lang w:val="zh-CN"/>
              </w:rPr>
            </w:pPr>
          </w:p>
        </w:tc>
        <w:tc>
          <w:tcPr>
            <w:tcW w:w="3689" w:type="dxa"/>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5.参加政府采购活动前三年内，在经营活动中没有重大违法记录</w:t>
            </w:r>
          </w:p>
        </w:tc>
        <w:tc>
          <w:tcPr>
            <w:tcW w:w="4413" w:type="dxa"/>
            <w:vMerge w:val="continue"/>
            <w:vAlign w:val="center"/>
          </w:tcPr>
          <w:p>
            <w:pPr>
              <w:rPr>
                <w:rFonts w:hint="eastAsia" w:ascii="微软雅黑" w:hAnsi="微软雅黑" w:eastAsia="微软雅黑"/>
                <w:b/>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trPr>
        <w:tc>
          <w:tcPr>
            <w:tcW w:w="817" w:type="dxa"/>
            <w:vMerge w:val="continue"/>
            <w:vAlign w:val="center"/>
          </w:tcPr>
          <w:p>
            <w:pPr>
              <w:jc w:val="center"/>
              <w:rPr>
                <w:rFonts w:hint="eastAsia" w:ascii="微软雅黑" w:hAnsi="微软雅黑" w:eastAsia="微软雅黑"/>
                <w:color w:val="auto"/>
                <w:sz w:val="21"/>
                <w:szCs w:val="21"/>
                <w:highlight w:val="none"/>
              </w:rPr>
            </w:pPr>
          </w:p>
        </w:tc>
        <w:tc>
          <w:tcPr>
            <w:tcW w:w="709" w:type="dxa"/>
            <w:vMerge w:val="continue"/>
            <w:vAlign w:val="center"/>
          </w:tcPr>
          <w:p>
            <w:pPr>
              <w:rPr>
                <w:rFonts w:hint="eastAsia" w:ascii="微软雅黑" w:hAnsi="微软雅黑" w:eastAsia="微软雅黑"/>
                <w:color w:val="auto"/>
                <w:sz w:val="21"/>
                <w:szCs w:val="21"/>
                <w:highlight w:val="none"/>
              </w:rPr>
            </w:pPr>
          </w:p>
        </w:tc>
        <w:tc>
          <w:tcPr>
            <w:tcW w:w="3689" w:type="dxa"/>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6.法律、行政法规规定的其他条件</w:t>
            </w:r>
          </w:p>
        </w:tc>
        <w:tc>
          <w:tcPr>
            <w:tcW w:w="4413" w:type="dxa"/>
            <w:vAlign w:val="center"/>
          </w:tcPr>
          <w:p>
            <w:pPr>
              <w:rPr>
                <w:rFonts w:hint="eastAsia" w:ascii="微软雅黑" w:hAnsi="微软雅黑" w:eastAsia="微软雅黑"/>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trPr>
        <w:tc>
          <w:tcPr>
            <w:tcW w:w="817" w:type="dxa"/>
            <w:vAlign w:val="center"/>
          </w:tcPr>
          <w:p>
            <w:pPr>
              <w:jc w:val="cente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（二）</w:t>
            </w:r>
          </w:p>
        </w:tc>
        <w:tc>
          <w:tcPr>
            <w:tcW w:w="4398" w:type="dxa"/>
            <w:gridSpan w:val="2"/>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本项目的特定资格要求</w:t>
            </w:r>
          </w:p>
        </w:tc>
        <w:tc>
          <w:tcPr>
            <w:tcW w:w="4413" w:type="dxa"/>
            <w:vAlign w:val="center"/>
          </w:tcPr>
          <w:p>
            <w:pPr>
              <w:rPr>
                <w:rFonts w:hint="eastAsia" w:ascii="微软雅黑" w:hAnsi="微软雅黑" w:eastAsia="微软雅黑"/>
                <w:color w:val="auto"/>
                <w:sz w:val="21"/>
                <w:szCs w:val="21"/>
                <w:highlight w:val="none"/>
              </w:rPr>
            </w:pPr>
            <w:r>
              <w:rPr>
                <w:rFonts w:hint="eastAsia" w:ascii="微软雅黑" w:hAnsi="微软雅黑" w:eastAsia="微软雅黑" w:cs="微软雅黑"/>
                <w:color w:val="auto"/>
                <w:sz w:val="21"/>
                <w:szCs w:val="21"/>
                <w:highlight w:val="none"/>
              </w:rPr>
              <w:t>按“第一篇三、代理机构资格要求（二）本项目的特定资格要求”的要求提交。</w:t>
            </w:r>
          </w:p>
        </w:tc>
      </w:tr>
    </w:tbl>
    <w:p>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kern w:val="0"/>
          <w:sz w:val="24"/>
          <w:szCs w:val="24"/>
          <w:highlight w:val="none"/>
        </w:rPr>
        <w:t>注：</w:t>
      </w:r>
    </w:p>
    <w:p>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kern w:val="0"/>
          <w:sz w:val="24"/>
          <w:szCs w:val="24"/>
          <w:highlight w:val="none"/>
        </w:rPr>
        <w:t>①根据《中华人民共和国政府采购法实施条例》第十九条“参加政府采购活动前三年内，在经营活动中没有重大违法记录”中“重大违法记录”，是指代理机构因违法经营受到刑事处罚或者责令停产停业、吊销许可证或者执照、较大数额罚款等行政处罚。行政处罚中“较大数额”的认定标准，按照《财政部关于&lt;中华人民共和国政府采购法实施条例&gt;第十九条第一款“较大数额罚款”具体适用问题的意见》（财库〔2022〕3号）执行。代理机构可于投标截止日期前通过 “信用中国”网站(www.creditchina.gov.cn)、"中国政府采购网"(www.ccgp.gov.cn)等渠道查询信用记录。</w:t>
      </w:r>
    </w:p>
    <w:p>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kern w:val="0"/>
          <w:sz w:val="24"/>
          <w:szCs w:val="24"/>
          <w:highlight w:val="none"/>
        </w:rPr>
        <w:t>2、符合性审查。依据竞争性比选文件的规定，从比选响应文件的有效性、完整性和对竞争性比选文件的响应程度进行审查，以确定是否对竞争性比选文件的实质性要求作出响应。符合性审查资料表如下：</w:t>
      </w:r>
    </w:p>
    <w:tbl>
      <w:tblPr>
        <w:tblStyle w:val="1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552"/>
        <w:gridCol w:w="1974"/>
        <w:gridCol w:w="5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71" w:type="dxa"/>
            <w:vAlign w:val="center"/>
          </w:tcPr>
          <w:p>
            <w:pPr>
              <w:snapToGrid w:val="0"/>
              <w:spacing w:line="400" w:lineRule="exact"/>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序号</w:t>
            </w:r>
          </w:p>
        </w:tc>
        <w:tc>
          <w:tcPr>
            <w:tcW w:w="3526" w:type="dxa"/>
            <w:gridSpan w:val="2"/>
            <w:vAlign w:val="center"/>
          </w:tcPr>
          <w:p>
            <w:pPr>
              <w:snapToGrid w:val="0"/>
              <w:spacing w:line="400" w:lineRule="exact"/>
              <w:ind w:firstLine="420" w:firstLineChars="200"/>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评审因素</w:t>
            </w:r>
          </w:p>
        </w:tc>
        <w:tc>
          <w:tcPr>
            <w:tcW w:w="5382" w:type="dxa"/>
            <w:vAlign w:val="center"/>
          </w:tcPr>
          <w:p>
            <w:pPr>
              <w:snapToGrid w:val="0"/>
              <w:spacing w:line="400" w:lineRule="exact"/>
              <w:ind w:firstLine="420" w:firstLineChars="200"/>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restart"/>
            <w:vAlign w:val="center"/>
          </w:tcPr>
          <w:p>
            <w:pPr>
              <w:snapToGrid w:val="0"/>
              <w:spacing w:line="40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1</w:t>
            </w:r>
          </w:p>
        </w:tc>
        <w:tc>
          <w:tcPr>
            <w:tcW w:w="1552" w:type="dxa"/>
            <w:vMerge w:val="restart"/>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有效性审查</w:t>
            </w: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响应文件签署</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响应文件电子文档上法定代表人（或其授权代表）的签字齐全。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continue"/>
            <w:vAlign w:val="center"/>
          </w:tcPr>
          <w:p>
            <w:pPr>
              <w:snapToGrid w:val="0"/>
              <w:spacing w:line="400" w:lineRule="exact"/>
              <w:ind w:firstLine="420" w:firstLineChars="200"/>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法定代表人身份证明及授权委托书</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法定代表人身份证明及授权委托书有效，符合</w:t>
            </w:r>
            <w:r>
              <w:rPr>
                <w:rFonts w:hint="eastAsia" w:ascii="微软雅黑" w:hAnsi="微软雅黑" w:eastAsia="微软雅黑" w:cs="微软雅黑"/>
                <w:color w:val="auto"/>
                <w:kern w:val="0"/>
                <w:sz w:val="21"/>
                <w:szCs w:val="21"/>
                <w:highlight w:val="none"/>
                <w:lang w:val="en-US" w:eastAsia="zh-CN"/>
              </w:rPr>
              <w:t>比选</w:t>
            </w:r>
            <w:r>
              <w:rPr>
                <w:rFonts w:hint="eastAsia" w:ascii="微软雅黑" w:hAnsi="微软雅黑" w:eastAsia="微软雅黑" w:cs="微软雅黑"/>
                <w:color w:val="auto"/>
                <w:kern w:val="0"/>
                <w:sz w:val="21"/>
                <w:szCs w:val="21"/>
                <w:highlight w:val="none"/>
              </w:rPr>
              <w:t>文件规定的格式，签字或盖章齐全。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71" w:type="dxa"/>
            <w:vMerge w:val="continue"/>
            <w:vAlign w:val="center"/>
          </w:tcPr>
          <w:p>
            <w:pPr>
              <w:snapToGrid w:val="0"/>
              <w:spacing w:line="400" w:lineRule="exact"/>
              <w:ind w:firstLine="420" w:firstLineChars="200"/>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lang w:val="zh-CN"/>
              </w:rPr>
            </w:pP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方案</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lang w:val="zh-CN"/>
              </w:rPr>
              <w:t>只能有一个</w:t>
            </w: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71" w:type="dxa"/>
            <w:vMerge w:val="continue"/>
            <w:vAlign w:val="center"/>
          </w:tcPr>
          <w:p>
            <w:pPr>
              <w:snapToGrid w:val="0"/>
              <w:spacing w:line="400" w:lineRule="exact"/>
              <w:ind w:firstLine="420" w:firstLineChars="200"/>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lang w:val="zh-CN"/>
              </w:rPr>
            </w:pPr>
            <w:r>
              <w:rPr>
                <w:rFonts w:hint="eastAsia" w:ascii="微软雅黑" w:hAnsi="微软雅黑" w:eastAsia="微软雅黑" w:cs="微软雅黑"/>
                <w:color w:val="auto"/>
                <w:kern w:val="0"/>
                <w:sz w:val="21"/>
                <w:szCs w:val="21"/>
                <w:highlight w:val="none"/>
              </w:rPr>
              <w:t>报价唯一</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lang w:val="zh-CN"/>
              </w:rPr>
              <w:t>只能在采购预算范围内报价，</w:t>
            </w:r>
            <w:r>
              <w:rPr>
                <w:rFonts w:hint="eastAsia" w:ascii="微软雅黑" w:hAnsi="微软雅黑" w:eastAsia="微软雅黑" w:cs="微软雅黑"/>
                <w:color w:val="auto"/>
                <w:kern w:val="0"/>
                <w:sz w:val="21"/>
                <w:szCs w:val="21"/>
                <w:highlight w:val="none"/>
              </w:rPr>
              <w:t>只能有一个有效报价，不得提交选择性报价。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restart"/>
            <w:vAlign w:val="center"/>
          </w:tcPr>
          <w:p>
            <w:pPr>
              <w:snapToGrid w:val="0"/>
              <w:spacing w:line="40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w:t>
            </w:r>
          </w:p>
        </w:tc>
        <w:tc>
          <w:tcPr>
            <w:tcW w:w="1552" w:type="dxa"/>
            <w:vMerge w:val="restart"/>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完整性审查</w:t>
            </w: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文件份数</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文件</w:t>
            </w:r>
            <w:r>
              <w:rPr>
                <w:rFonts w:hint="eastAsia" w:ascii="微软雅黑" w:hAnsi="微软雅黑" w:eastAsia="微软雅黑" w:cs="微软雅黑"/>
                <w:color w:val="auto"/>
                <w:kern w:val="0"/>
                <w:sz w:val="21"/>
                <w:szCs w:val="21"/>
                <w:highlight w:val="none"/>
              </w:rPr>
              <w:t>份数</w:t>
            </w:r>
            <w:r>
              <w:rPr>
                <w:rFonts w:hint="eastAsia" w:ascii="微软雅黑" w:hAnsi="微软雅黑" w:eastAsia="微软雅黑" w:cs="微软雅黑"/>
                <w:color w:val="auto"/>
                <w:kern w:val="0"/>
                <w:sz w:val="21"/>
                <w:szCs w:val="21"/>
                <w:highlight w:val="none"/>
                <w:lang w:val="zh-CN"/>
              </w:rPr>
              <w:t>符合</w:t>
            </w:r>
            <w:r>
              <w:rPr>
                <w:rFonts w:hint="eastAsia" w:ascii="微软雅黑" w:hAnsi="微软雅黑" w:eastAsia="微软雅黑" w:cs="微软雅黑"/>
                <w:color w:val="auto"/>
                <w:kern w:val="0"/>
                <w:sz w:val="21"/>
                <w:szCs w:val="21"/>
                <w:highlight w:val="none"/>
                <w:lang w:val="en-US" w:eastAsia="zh-CN"/>
              </w:rPr>
              <w:t>比选</w:t>
            </w:r>
            <w:r>
              <w:rPr>
                <w:rFonts w:hint="eastAsia" w:ascii="微软雅黑" w:hAnsi="微软雅黑" w:eastAsia="微软雅黑" w:cs="微软雅黑"/>
                <w:color w:val="auto"/>
                <w:kern w:val="0"/>
                <w:sz w:val="21"/>
                <w:szCs w:val="21"/>
                <w:highlight w:val="none"/>
                <w:lang w:val="zh-CN"/>
              </w:rPr>
              <w:t>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continue"/>
            <w:vAlign w:val="center"/>
          </w:tcPr>
          <w:p>
            <w:pPr>
              <w:snapToGrid w:val="0"/>
              <w:spacing w:line="400" w:lineRule="exact"/>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rPr>
                <w:rFonts w:hint="eastAsia" w:ascii="微软雅黑" w:hAnsi="微软雅黑" w:eastAsia="微软雅黑" w:cs="微软雅黑"/>
                <w:color w:val="auto"/>
                <w:kern w:val="0"/>
                <w:sz w:val="21"/>
                <w:szCs w:val="21"/>
                <w:highlight w:val="none"/>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响应文件内容</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响应文件内容齐全、无遗漏。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1" w:type="dxa"/>
            <w:vMerge w:val="restart"/>
            <w:vAlign w:val="center"/>
          </w:tcPr>
          <w:p>
            <w:pPr>
              <w:snapToGrid w:val="0"/>
              <w:spacing w:line="40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3</w:t>
            </w:r>
          </w:p>
        </w:tc>
        <w:tc>
          <w:tcPr>
            <w:tcW w:w="1552" w:type="dxa"/>
            <w:vMerge w:val="restart"/>
            <w:vAlign w:val="center"/>
          </w:tcPr>
          <w:p>
            <w:pPr>
              <w:snapToGrid w:val="0"/>
              <w:spacing w:line="400" w:lineRule="exact"/>
              <w:rPr>
                <w:rFonts w:hint="eastAsia" w:ascii="微软雅黑" w:hAnsi="微软雅黑" w:eastAsia="微软雅黑" w:cs="微软雅黑"/>
                <w:color w:val="auto"/>
                <w:kern w:val="0"/>
                <w:sz w:val="21"/>
                <w:szCs w:val="21"/>
                <w:highlight w:val="none"/>
                <w:lang w:val="zh-CN"/>
              </w:rPr>
            </w:pPr>
            <w:r>
              <w:rPr>
                <w:rFonts w:hint="eastAsia" w:ascii="微软雅黑" w:hAnsi="微软雅黑" w:eastAsia="微软雅黑" w:cs="微软雅黑"/>
                <w:color w:val="auto"/>
                <w:kern w:val="0"/>
                <w:sz w:val="21"/>
                <w:szCs w:val="21"/>
                <w:highlight w:val="none"/>
              </w:rPr>
              <w:t>响应程度审查</w:t>
            </w: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响应文件内容</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对</w:t>
            </w:r>
            <w:r>
              <w:rPr>
                <w:rFonts w:hint="eastAsia" w:ascii="微软雅黑" w:hAnsi="微软雅黑" w:eastAsia="微软雅黑" w:cs="微软雅黑"/>
                <w:color w:val="auto"/>
                <w:kern w:val="0"/>
                <w:sz w:val="21"/>
                <w:szCs w:val="21"/>
                <w:highlight w:val="none"/>
                <w:lang w:val="en-US" w:eastAsia="zh-CN"/>
              </w:rPr>
              <w:t>比选</w:t>
            </w:r>
            <w:r>
              <w:rPr>
                <w:rFonts w:hint="eastAsia" w:ascii="微软雅黑" w:hAnsi="微软雅黑" w:eastAsia="微软雅黑" w:cs="微软雅黑"/>
                <w:color w:val="auto"/>
                <w:kern w:val="0"/>
                <w:sz w:val="21"/>
                <w:szCs w:val="21"/>
                <w:highlight w:val="none"/>
              </w:rPr>
              <w:t>文件第二篇、第三篇规定的</w:t>
            </w:r>
            <w:r>
              <w:rPr>
                <w:rFonts w:hint="eastAsia" w:ascii="微软雅黑" w:hAnsi="微软雅黑" w:eastAsia="微软雅黑" w:cs="微软雅黑"/>
                <w:color w:val="auto"/>
                <w:kern w:val="0"/>
                <w:sz w:val="21"/>
                <w:szCs w:val="21"/>
                <w:highlight w:val="none"/>
                <w:lang w:val="en-US" w:eastAsia="zh-CN"/>
              </w:rPr>
              <w:t>比选</w:t>
            </w:r>
            <w:r>
              <w:rPr>
                <w:rFonts w:hint="eastAsia" w:ascii="微软雅黑" w:hAnsi="微软雅黑" w:eastAsia="微软雅黑" w:cs="微软雅黑"/>
                <w:color w:val="auto"/>
                <w:kern w:val="0"/>
                <w:sz w:val="21"/>
                <w:szCs w:val="21"/>
                <w:highlight w:val="none"/>
              </w:rPr>
              <w:t>内容作出响应。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671" w:type="dxa"/>
            <w:vMerge w:val="continue"/>
            <w:vAlign w:val="center"/>
          </w:tcPr>
          <w:p>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552" w:type="dxa"/>
            <w:vMerge w:val="continue"/>
            <w:vAlign w:val="center"/>
          </w:tcPr>
          <w:p>
            <w:pPr>
              <w:snapToGrid w:val="0"/>
              <w:spacing w:line="400" w:lineRule="exact"/>
              <w:rPr>
                <w:rFonts w:hint="eastAsia" w:ascii="微软雅黑" w:hAnsi="微软雅黑" w:eastAsia="微软雅黑" w:cs="微软雅黑"/>
                <w:color w:val="auto"/>
                <w:kern w:val="0"/>
                <w:sz w:val="21"/>
                <w:szCs w:val="21"/>
                <w:highlight w:val="none"/>
                <w:lang w:val="zh-CN"/>
              </w:rPr>
            </w:pPr>
          </w:p>
        </w:tc>
        <w:tc>
          <w:tcPr>
            <w:tcW w:w="1974"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网上竞采有效期</w:t>
            </w:r>
          </w:p>
        </w:tc>
        <w:tc>
          <w:tcPr>
            <w:tcW w:w="5382" w:type="dxa"/>
            <w:vAlign w:val="center"/>
          </w:tcPr>
          <w:p>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满足</w:t>
            </w:r>
            <w:r>
              <w:rPr>
                <w:rFonts w:hint="eastAsia" w:ascii="微软雅黑" w:hAnsi="微软雅黑" w:eastAsia="微软雅黑" w:cs="微软雅黑"/>
                <w:color w:val="auto"/>
                <w:kern w:val="0"/>
                <w:sz w:val="21"/>
                <w:szCs w:val="21"/>
                <w:highlight w:val="none"/>
                <w:lang w:val="en-US" w:eastAsia="zh-CN"/>
              </w:rPr>
              <w:t>比选</w:t>
            </w:r>
            <w:r>
              <w:rPr>
                <w:rFonts w:hint="eastAsia" w:ascii="微软雅黑" w:hAnsi="微软雅黑" w:eastAsia="微软雅黑" w:cs="微软雅黑"/>
                <w:color w:val="auto"/>
                <w:kern w:val="0"/>
                <w:sz w:val="21"/>
                <w:szCs w:val="21"/>
                <w:highlight w:val="none"/>
                <w:lang w:val="zh-CN"/>
              </w:rPr>
              <w:t>文件规定有效期为提交响应文件截止时间起90天。</w:t>
            </w:r>
          </w:p>
        </w:tc>
      </w:tr>
    </w:tbl>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澄清有关问题。比选小组在对比选响应文件的有效性、完整性和响应程度进行审查时，可以要求代理机构对比选响应文件中含义不明确、同类问题表述不一致或者有明显文字和计算错误的内容等作出必要的澄清、说明或者更正。代理机构的澄清、说明或者更正不得超出比选响应文件的范围或者改变比选响应文件的实质性内容。</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（四）比选小组要求代理机构澄清、说明或者更正比选响应文件应当以书面形式作出。代理机构的澄清、说明或者更正应当由法定代表人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或其授权代表签署或者加盖公章。由授权代表签署的，应当附法定代表人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授权书。</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（五）在比选过程中比选的任何一方不得向他人透露与比选有关的服务资料、价格或其他信息。</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在比选过程中，比选小组不得根据竞争性比选文件和比选情况实质性变动采购需求中的服务、商务要求以及合同草案条款。对竞争性比选文件作出的实质性变动是竞争性比选文件的有效组成部分，比选小组应当及时以书面形式同时通知所有参加比选的代理机构。</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（七）代理机构在比选时作出的所有书面承诺须由法定代表人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或其授权代表签署。</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比选小组采用综合评分法对代理机构的比选响应文件和报价（含有效书面承诺）进行综合评分。综合评分法，是指比选响应文件满足竞争性比选文件全部实质性要求且按照评审因素的量化指标评审得分最高的代理机构为成交候选代理机构的评审方法。代理机构总得分为服务、商务等评定因素分别按照相应权重值计算分项得分后相加，满分为100分。</w:t>
      </w:r>
    </w:p>
    <w:p>
      <w:pPr>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（九）比选小组各成员独立对每个有效响应（通过资格性审查、符合性审查的代理机构）的文件进行评价、打分，然后汇总每个代理机构每项评分因素的得分，并根据综合评分情况按照评审得分由高到低顺序推荐</w:t>
      </w:r>
      <w:r>
        <w:rPr>
          <w:rFonts w:hint="eastAsia" w:ascii="微软雅黑" w:hAnsi="微软雅黑" w:eastAsia="微软雅黑" w:cs="微软雅黑"/>
          <w:color w:val="auto"/>
          <w:sz w:val="24"/>
          <w:szCs w:val="24"/>
          <w:highlight w:val="none"/>
          <w:lang w:val="en-US" w:eastAsia="zh-CN"/>
        </w:rPr>
        <w:t>不高于</w:t>
      </w:r>
      <w:r>
        <w:rPr>
          <w:rFonts w:hint="eastAsia" w:ascii="微软雅黑" w:hAnsi="微软雅黑" w:eastAsia="微软雅黑" w:cs="微软雅黑"/>
          <w:color w:val="auto"/>
          <w:sz w:val="24"/>
          <w:szCs w:val="24"/>
          <w:highlight w:val="none"/>
        </w:rPr>
        <w:t>3名成交候选代理机构，并编写评审报告。若代理机构的评审得分相同的，按照报价由高到低的顺序排列推荐。评审得分且报价相同的，按照服务指标优劣顺序排列推荐。以上都相同的，按商务条款的优劣顺序排列推荐。</w:t>
      </w:r>
    </w:p>
    <w:p>
      <w:pPr>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注：技术/服务部分得分为0分的供应商失去成为成交候选人的资格。</w:t>
      </w:r>
    </w:p>
    <w:p>
      <w:pPr>
        <w:pStyle w:val="3"/>
        <w:spacing w:line="440" w:lineRule="exact"/>
        <w:ind w:firstLine="240" w:firstLineChars="100"/>
        <w:rPr>
          <w:rFonts w:hint="eastAsia" w:ascii="微软雅黑" w:hAnsi="微软雅黑" w:eastAsia="微软雅黑" w:cs="微软雅黑"/>
          <w:color w:val="auto"/>
          <w:sz w:val="24"/>
          <w:szCs w:val="24"/>
          <w:highlight w:val="none"/>
        </w:rPr>
      </w:pPr>
      <w:bookmarkStart w:id="47" w:name="_Toc1763"/>
      <w:r>
        <w:rPr>
          <w:rFonts w:hint="eastAsia" w:ascii="微软雅黑" w:hAnsi="微软雅黑" w:eastAsia="微软雅黑" w:cs="微软雅黑"/>
          <w:color w:val="auto"/>
          <w:sz w:val="24"/>
          <w:szCs w:val="24"/>
          <w:highlight w:val="none"/>
        </w:rPr>
        <w:t>二、</w:t>
      </w:r>
      <w:bookmarkStart w:id="48" w:name="_Toc102227320"/>
      <w:bookmarkStart w:id="49" w:name="_Toc342913394"/>
      <w:r>
        <w:rPr>
          <w:rFonts w:hint="eastAsia" w:ascii="微软雅黑" w:hAnsi="微软雅黑" w:eastAsia="微软雅黑" w:cs="微软雅黑"/>
          <w:color w:val="auto"/>
          <w:sz w:val="24"/>
          <w:szCs w:val="24"/>
          <w:highlight w:val="none"/>
        </w:rPr>
        <w:t>评审标准</w:t>
      </w:r>
      <w:bookmarkEnd w:id="47"/>
    </w:p>
    <w:tbl>
      <w:tblPr>
        <w:tblStyle w:val="14"/>
        <w:tblW w:w="987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090"/>
        <w:gridCol w:w="1333"/>
        <w:gridCol w:w="4514"/>
        <w:gridCol w:w="2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436" w:type="dxa"/>
            <w:vAlign w:val="center"/>
          </w:tcPr>
          <w:p>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序号</w:t>
            </w:r>
          </w:p>
        </w:tc>
        <w:tc>
          <w:tcPr>
            <w:tcW w:w="1090" w:type="dxa"/>
            <w:vAlign w:val="center"/>
          </w:tcPr>
          <w:p>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评分因素及权值</w:t>
            </w:r>
          </w:p>
        </w:tc>
        <w:tc>
          <w:tcPr>
            <w:tcW w:w="1333" w:type="dxa"/>
            <w:vAlign w:val="center"/>
          </w:tcPr>
          <w:p>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分值</w:t>
            </w:r>
          </w:p>
        </w:tc>
        <w:tc>
          <w:tcPr>
            <w:tcW w:w="4514" w:type="dxa"/>
            <w:vAlign w:val="center"/>
          </w:tcPr>
          <w:p>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评分标准</w:t>
            </w:r>
          </w:p>
        </w:tc>
        <w:tc>
          <w:tcPr>
            <w:tcW w:w="2500" w:type="dxa"/>
            <w:vAlign w:val="center"/>
          </w:tcPr>
          <w:p>
            <w:pPr>
              <w:spacing w:line="240" w:lineRule="atLeast"/>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436" w:type="dxa"/>
            <w:vMerge w:val="restart"/>
            <w:vAlign w:val="center"/>
          </w:tcPr>
          <w:p>
            <w:pPr>
              <w:spacing w:line="240" w:lineRule="atLeast"/>
              <w:ind w:firstLine="28"/>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w:t>
            </w:r>
          </w:p>
        </w:tc>
        <w:tc>
          <w:tcPr>
            <w:tcW w:w="1090" w:type="dxa"/>
            <w:vMerge w:val="restart"/>
            <w:vAlign w:val="center"/>
          </w:tcPr>
          <w:p>
            <w:pPr>
              <w:spacing w:line="240" w:lineRule="atLeast"/>
              <w:ind w:firstLine="28"/>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服务部分（60%）</w:t>
            </w: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服务响应程度（10分）</w:t>
            </w:r>
          </w:p>
        </w:tc>
        <w:tc>
          <w:tcPr>
            <w:tcW w:w="4514" w:type="dxa"/>
            <w:vAlign w:val="center"/>
          </w:tcPr>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1.有效投标人的起评分为10分。</w:t>
            </w:r>
          </w:p>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 扣分条款：</w:t>
            </w:r>
          </w:p>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 xml:space="preserve">2.1 投标产品技术参数不满足招标文件重要技术参数需求的【本招标文件第二篇“服务内容和服务要求”部分（▲）号标注的部分】，每负偏离一条从起评分中扣除1分，扣完为止。 </w:t>
            </w:r>
          </w:p>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2.2投标产品技术参数不满足招标文件一般性技术需求的【即本招标文件第二篇 “服务内容和服务要求”部分（▲）和（※）号标注的部分除外】，每负偏离一条从起评分中扣除0.1分，扣完为止。</w:t>
            </w:r>
          </w:p>
        </w:tc>
        <w:tc>
          <w:tcPr>
            <w:tcW w:w="2500" w:type="dxa"/>
            <w:vAlign w:val="center"/>
          </w:tcPr>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注：每条（▲）号条款或每条一般性技术需求（非（▲）号和非（※）号条款）下有多个技术参数要求的，多个技术参数中只要其中一个不满足要求，即按不满足该条（▲）号条款或该条一般性技术需求进行相应扣分（多个技术参数中有多个条款不满足的，不重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招标代理工作服务方案（10分）</w:t>
            </w:r>
          </w:p>
        </w:tc>
        <w:tc>
          <w:tcPr>
            <w:tcW w:w="4514" w:type="dxa"/>
            <w:vAlign w:val="center"/>
          </w:tcPr>
          <w:p>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代理机构结合</w:t>
            </w:r>
            <w:r>
              <w:rPr>
                <w:rFonts w:hint="eastAsia" w:ascii="微软雅黑" w:hAnsi="微软雅黑" w:eastAsia="微软雅黑" w:cs="微软雅黑"/>
                <w:color w:val="auto"/>
                <w:sz w:val="21"/>
                <w:szCs w:val="21"/>
                <w:highlight w:val="none"/>
              </w:rPr>
              <w:t>本项目实际情况、</w:t>
            </w:r>
            <w:r>
              <w:rPr>
                <w:rFonts w:hint="eastAsia" w:ascii="微软雅黑" w:hAnsi="微软雅黑" w:eastAsia="微软雅黑" w:cs="微软雅黑"/>
                <w:color w:val="auto"/>
                <w:kern w:val="0"/>
                <w:sz w:val="21"/>
                <w:szCs w:val="21"/>
                <w:highlight w:val="none"/>
              </w:rPr>
              <w:t>相关政策法规、自身情况和管理内控制度等方面，从政府采购招标代理服务工作的各个方面编制服务方案（包括但不限于拟派团队人员安排、代理公司内控制度、招标代理流程、应急措施、投诉质疑处理方案等采购全过程服务方案），评审人员根据代理机构提供的服务方案进行评审；每项起评分2分，单项内容每有一处瑕疵从单项起评分中扣除1分，扣完为止。内容与本项目无关或未提供实施方案的得0分。</w:t>
            </w:r>
          </w:p>
        </w:tc>
        <w:tc>
          <w:tcPr>
            <w:tcW w:w="2500" w:type="dxa"/>
            <w:vMerge w:val="restart"/>
            <w:vAlign w:val="center"/>
          </w:tcPr>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1.响应文件中提供书面方案，方案内容不超过100页，超过100页为无效方案，不得分。</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2.本部分所称的“瑕疵”包含但不限于以下内容：</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①内容表述不完整或缺少关键分析点或情况介绍说明；</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②无科学合理性、无可行性或先进性；</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③内容表述前后矛盾、无连贯性、内容存在逻辑漏洞；</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④常识性错误；</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⑤并不适用本项目特性或非专门针对本项目制定；</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⑥不利于本项目目标的实现，不适用于采购人单位现有情况；</w:t>
            </w:r>
          </w:p>
          <w:p>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⑦现有技术条件下不可能实现采购目标；上述任意一种情形为1处瑕疵。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9"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档案管理方案（30分）</w:t>
            </w:r>
          </w:p>
        </w:tc>
        <w:tc>
          <w:tcPr>
            <w:tcW w:w="4514" w:type="dxa"/>
            <w:vAlign w:val="center"/>
          </w:tcPr>
          <w:p>
            <w:pPr>
              <w:widowControl/>
              <w:adjustRightInd w:val="0"/>
              <w:snapToGrid w:val="0"/>
              <w:textAlignment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bCs/>
                <w:color w:val="auto"/>
                <w:kern w:val="0"/>
                <w:sz w:val="21"/>
                <w:szCs w:val="21"/>
                <w:highlight w:val="none"/>
              </w:rPr>
              <w:t>依据代理机构提供的档案管理方案进行评分，</w:t>
            </w:r>
            <w:r>
              <w:rPr>
                <w:rFonts w:hint="eastAsia" w:ascii="微软雅黑" w:hAnsi="微软雅黑" w:eastAsia="微软雅黑" w:cs="微软雅黑"/>
                <w:color w:val="auto"/>
                <w:kern w:val="0"/>
                <w:sz w:val="21"/>
                <w:szCs w:val="21"/>
                <w:highlight w:val="none"/>
              </w:rPr>
              <w:t>优（包括但不限于档案管理岗位设置、档案管理制度、档案存放内容标准、保密措施、档案移交流程、档案遗失或损毁处理方案等）</w:t>
            </w:r>
            <w:r>
              <w:rPr>
                <w:rFonts w:hint="eastAsia" w:ascii="微软雅黑" w:hAnsi="微软雅黑" w:eastAsia="微软雅黑" w:cs="微软雅黑"/>
                <w:bCs/>
                <w:color w:val="auto"/>
                <w:kern w:val="0"/>
                <w:sz w:val="21"/>
                <w:szCs w:val="21"/>
                <w:highlight w:val="none"/>
              </w:rPr>
              <w:t>：每项起评分5分，单项内容每有一处瑕疵从单项起评分中扣除1分，扣完为止。内容与本项目无关或未提供实施方案的得0分。</w:t>
            </w:r>
          </w:p>
        </w:tc>
        <w:tc>
          <w:tcPr>
            <w:tcW w:w="2500" w:type="dxa"/>
            <w:vMerge w:val="continue"/>
            <w:vAlign w:val="center"/>
          </w:tcPr>
          <w:p>
            <w:pPr>
              <w:spacing w:line="360" w:lineRule="exact"/>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开评标室配置（10分）</w:t>
            </w:r>
          </w:p>
        </w:tc>
        <w:tc>
          <w:tcPr>
            <w:tcW w:w="4514"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供应商应</w:t>
            </w:r>
            <w:bookmarkStart w:id="50" w:name="OLE_LINK4"/>
            <w:r>
              <w:rPr>
                <w:rFonts w:hint="eastAsia" w:ascii="微软雅黑" w:hAnsi="微软雅黑" w:eastAsia="微软雅黑" w:cs="微软雅黑"/>
                <w:bCs/>
                <w:color w:val="auto"/>
                <w:kern w:val="0"/>
                <w:sz w:val="21"/>
                <w:szCs w:val="21"/>
                <w:highlight w:val="none"/>
              </w:rPr>
              <w:t>提供“开评标室”证明材料</w:t>
            </w:r>
            <w:bookmarkEnd w:id="50"/>
            <w:r>
              <w:rPr>
                <w:rFonts w:hint="eastAsia" w:ascii="微软雅黑" w:hAnsi="微软雅黑" w:eastAsia="微软雅黑" w:cs="微软雅黑"/>
                <w:bCs/>
                <w:color w:val="auto"/>
                <w:kern w:val="0"/>
                <w:sz w:val="21"/>
                <w:szCs w:val="21"/>
                <w:highlight w:val="none"/>
              </w:rPr>
              <w:t>，包括但不限于：开标室、评标室、监控设备。提供上述全部证明材料得5分，根据各供应商提供的证明材料进行综合对比，在满足上述要求上，配置合理加5分，配置一般加2分，未提供或未按要求提供得0分，本项满分为10分。</w:t>
            </w:r>
          </w:p>
        </w:tc>
        <w:tc>
          <w:tcPr>
            <w:tcW w:w="2500" w:type="dxa"/>
            <w:vAlign w:val="center"/>
          </w:tcPr>
          <w:p>
            <w:pPr>
              <w:spacing w:line="36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Cs/>
                <w:color w:val="auto"/>
                <w:kern w:val="0"/>
                <w:sz w:val="21"/>
                <w:szCs w:val="21"/>
                <w:highlight w:val="none"/>
              </w:rPr>
              <w:t>提供“开评标室”证明材料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436" w:type="dxa"/>
            <w:vMerge w:val="restart"/>
            <w:vAlign w:val="center"/>
          </w:tcPr>
          <w:p>
            <w:pPr>
              <w:spacing w:line="240" w:lineRule="atLeast"/>
              <w:ind w:firstLine="28"/>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w:t>
            </w:r>
          </w:p>
        </w:tc>
        <w:tc>
          <w:tcPr>
            <w:tcW w:w="1090" w:type="dxa"/>
            <w:vMerge w:val="restart"/>
            <w:vAlign w:val="center"/>
          </w:tcPr>
          <w:p>
            <w:pPr>
              <w:spacing w:line="240" w:lineRule="atLeast"/>
              <w:ind w:firstLine="28"/>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商务部分</w:t>
            </w:r>
          </w:p>
          <w:p>
            <w:pPr>
              <w:spacing w:line="240" w:lineRule="atLeast"/>
              <w:ind w:firstLine="28"/>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（40%）</w:t>
            </w: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业绩（16分）</w:t>
            </w:r>
          </w:p>
        </w:tc>
        <w:tc>
          <w:tcPr>
            <w:tcW w:w="4514"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1.2022年1月1日起至今供应商累计代理政府采购项目采购人个数，每提供1个得1分，满分8分。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2.2022年1月1日起至今供应商累计代理的政府采购项目数量，每提供1个得1分，满分8分。</w:t>
            </w:r>
          </w:p>
        </w:tc>
        <w:tc>
          <w:tcPr>
            <w:tcW w:w="2500" w:type="dxa"/>
            <w:vAlign w:val="center"/>
          </w:tcPr>
          <w:p>
            <w:pPr>
              <w:spacing w:line="240" w:lineRule="atLeast"/>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提供</w:t>
            </w:r>
            <w:r>
              <w:rPr>
                <w:rFonts w:hint="eastAsia" w:ascii="微软雅黑" w:hAnsi="微软雅黑" w:eastAsia="微软雅黑" w:cs="微软雅黑"/>
                <w:bCs/>
                <w:color w:val="auto"/>
                <w:kern w:val="0"/>
                <w:sz w:val="21"/>
                <w:szCs w:val="21"/>
                <w:highlight w:val="none"/>
                <w:lang w:val="en-US" w:eastAsia="zh-CN"/>
              </w:rPr>
              <w:t>政府采购主管部门盖章的或政府采购系统相关证明文件（如采购计划表）复印件并加</w:t>
            </w:r>
            <w:r>
              <w:rPr>
                <w:rFonts w:hint="eastAsia" w:ascii="微软雅黑" w:hAnsi="微软雅黑" w:eastAsia="微软雅黑" w:cs="微软雅黑"/>
                <w:bCs/>
                <w:color w:val="auto"/>
                <w:kern w:val="0"/>
                <w:sz w:val="21"/>
                <w:szCs w:val="21"/>
                <w:highlight w:val="none"/>
              </w:rPr>
              <w:t>盖供应商公章，总得分最高为16分。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widowControl/>
              <w:adjustRightInd w:val="0"/>
              <w:snapToGrid w:val="0"/>
              <w:jc w:val="center"/>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在渝规范存档资料</w:t>
            </w:r>
          </w:p>
          <w:p>
            <w:pPr>
              <w:widowControl/>
              <w:adjustRightInd w:val="0"/>
              <w:snapToGrid w:val="0"/>
              <w:jc w:val="center"/>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（4分）</w:t>
            </w:r>
          </w:p>
        </w:tc>
        <w:tc>
          <w:tcPr>
            <w:tcW w:w="4514"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提供采购存档资料保管年限在15年以上的项目，提供一个得2分，最多得4分。</w:t>
            </w:r>
          </w:p>
        </w:tc>
        <w:tc>
          <w:tcPr>
            <w:tcW w:w="2500"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提供清单明细表（内容应包含：序号、项目名称、采购公告、开标时间、采购人单位名称及联系电话、代理合同等），并承诺提供资料的属实。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436" w:type="dxa"/>
            <w:vMerge w:val="continue"/>
            <w:vAlign w:val="center"/>
          </w:tcPr>
          <w:p>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团队人员</w:t>
            </w:r>
          </w:p>
          <w:p>
            <w:pPr>
              <w:spacing w:line="360" w:lineRule="exact"/>
              <w:jc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color w:val="auto"/>
                <w:sz w:val="21"/>
                <w:szCs w:val="21"/>
                <w:highlight w:val="none"/>
              </w:rPr>
              <w:t>（20分）</w:t>
            </w:r>
          </w:p>
        </w:tc>
        <w:tc>
          <w:tcPr>
            <w:tcW w:w="4514" w:type="dxa"/>
            <w:vAlign w:val="center"/>
          </w:tcPr>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1.拟派本项目的项目负责人</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lang w:val="en-US" w:eastAsia="zh-CN"/>
              </w:rPr>
              <w:t>7分</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rPr>
              <w:t>：</w:t>
            </w:r>
          </w:p>
          <w:p>
            <w:pPr>
              <w:widowControl/>
              <w:numPr>
                <w:ilvl w:val="0"/>
                <w:numId w:val="0"/>
              </w:numPr>
              <w:adjustRightInd w:val="0"/>
              <w:snapToGrid w:val="0"/>
              <w:ind w:leftChars="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具备研究生以上学历得2分；本科及以上学历的得1分，</w:t>
            </w:r>
            <w:r>
              <w:rPr>
                <w:rFonts w:hint="eastAsia" w:ascii="微软雅黑" w:hAnsi="微软雅黑" w:eastAsia="微软雅黑" w:cs="微软雅黑"/>
                <w:bCs/>
                <w:color w:val="auto"/>
                <w:kern w:val="0"/>
                <w:sz w:val="21"/>
                <w:szCs w:val="21"/>
                <w:highlight w:val="none"/>
                <w:lang w:val="en-US" w:eastAsia="zh-CN"/>
              </w:rPr>
              <w:t>本条款</w:t>
            </w:r>
            <w:r>
              <w:rPr>
                <w:rFonts w:hint="eastAsia" w:ascii="微软雅黑" w:hAnsi="微软雅黑" w:eastAsia="微软雅黑" w:cs="微软雅黑"/>
                <w:bCs/>
                <w:color w:val="auto"/>
                <w:kern w:val="0"/>
                <w:sz w:val="21"/>
                <w:szCs w:val="21"/>
                <w:highlight w:val="none"/>
              </w:rPr>
              <w:t>最高2分；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具备经济类或工程类高级职称的得5分；具备经济类或工程类中级职称的得3分，具备经济类或工程类初级或助理职称的得1分。本条款最高5分（经济类、工程类职称证书不得重复计分）；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2.拟派本项目团队人员中具备招标师或</w:t>
            </w:r>
            <w:r>
              <w:rPr>
                <w:rFonts w:hint="eastAsia" w:ascii="微软雅黑" w:hAnsi="微软雅黑" w:eastAsia="微软雅黑" w:cs="微软雅黑"/>
                <w:bCs/>
                <w:color w:val="auto"/>
                <w:kern w:val="0"/>
                <w:sz w:val="21"/>
                <w:szCs w:val="21"/>
                <w:highlight w:val="none"/>
                <w:lang w:val="en-US" w:eastAsia="zh-CN"/>
              </w:rPr>
              <w:t>采购</w:t>
            </w:r>
            <w:r>
              <w:rPr>
                <w:rFonts w:hint="eastAsia" w:ascii="微软雅黑" w:hAnsi="微软雅黑" w:eastAsia="微软雅黑" w:cs="微软雅黑"/>
                <w:bCs/>
                <w:color w:val="auto"/>
                <w:kern w:val="0"/>
                <w:sz w:val="21"/>
                <w:szCs w:val="21"/>
                <w:highlight w:val="none"/>
              </w:rPr>
              <w:t>师证书的得4分；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3.拟派本项目团队人员中</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rPr>
              <w:t>具备</w:t>
            </w:r>
            <w:r>
              <w:rPr>
                <w:rFonts w:hint="eastAsia" w:ascii="微软雅黑" w:hAnsi="微软雅黑" w:eastAsia="微软雅黑" w:cs="微软雅黑"/>
                <w:bCs/>
                <w:color w:val="auto"/>
                <w:kern w:val="0"/>
                <w:sz w:val="21"/>
                <w:szCs w:val="21"/>
                <w:highlight w:val="none"/>
                <w:lang w:val="en-US" w:eastAsia="zh-CN"/>
              </w:rPr>
              <w:t>近3</w:t>
            </w:r>
            <w:r>
              <w:rPr>
                <w:rFonts w:hint="eastAsia" w:ascii="微软雅黑" w:hAnsi="微软雅黑" w:eastAsia="微软雅黑" w:cs="微软雅黑"/>
                <w:bCs/>
                <w:color w:val="auto"/>
                <w:kern w:val="0"/>
                <w:sz w:val="21"/>
                <w:szCs w:val="21"/>
                <w:highlight w:val="none"/>
              </w:rPr>
              <w:t>年</w:t>
            </w:r>
            <w:r>
              <w:rPr>
                <w:rFonts w:hint="eastAsia" w:ascii="微软雅黑" w:hAnsi="微软雅黑" w:eastAsia="微软雅黑" w:cs="微软雅黑"/>
                <w:bCs/>
                <w:color w:val="auto"/>
                <w:kern w:val="0"/>
                <w:sz w:val="21"/>
                <w:szCs w:val="21"/>
                <w:highlight w:val="none"/>
                <w:lang w:val="en-US" w:eastAsia="zh-CN"/>
              </w:rPr>
              <w:t>中任意一年</w:t>
            </w:r>
            <w:r>
              <w:rPr>
                <w:rFonts w:hint="eastAsia" w:ascii="微软雅黑" w:hAnsi="微软雅黑" w:eastAsia="微软雅黑" w:cs="微软雅黑"/>
                <w:bCs/>
                <w:color w:val="auto"/>
                <w:kern w:val="0"/>
                <w:sz w:val="21"/>
                <w:szCs w:val="21"/>
                <w:highlight w:val="none"/>
              </w:rPr>
              <w:t>重庆市政府采购代理机构从业人员培训合格证书</w:t>
            </w:r>
            <w:r>
              <w:rPr>
                <w:rFonts w:hint="eastAsia" w:ascii="微软雅黑" w:hAnsi="微软雅黑" w:eastAsia="微软雅黑" w:cs="微软雅黑"/>
                <w:bCs/>
                <w:color w:val="auto"/>
                <w:kern w:val="0"/>
                <w:sz w:val="21"/>
                <w:szCs w:val="21"/>
                <w:highlight w:val="none"/>
                <w:lang w:val="en-US" w:eastAsia="zh-CN"/>
              </w:rPr>
              <w:t>的</w:t>
            </w:r>
            <w:r>
              <w:rPr>
                <w:rFonts w:hint="eastAsia" w:ascii="微软雅黑" w:hAnsi="微软雅黑" w:eastAsia="微软雅黑" w:cs="微软雅黑"/>
                <w:bCs/>
                <w:color w:val="auto"/>
                <w:kern w:val="0"/>
                <w:sz w:val="21"/>
                <w:szCs w:val="21"/>
                <w:highlight w:val="none"/>
              </w:rPr>
              <w:t>，1人得1分，最高得3分。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4.拟派的团队人员具备法</w:t>
            </w:r>
            <w:bookmarkStart w:id="128" w:name="_GoBack"/>
            <w:bookmarkEnd w:id="128"/>
            <w:r>
              <w:rPr>
                <w:rFonts w:hint="eastAsia" w:ascii="微软雅黑" w:hAnsi="微软雅黑" w:eastAsia="微软雅黑" w:cs="微软雅黑"/>
                <w:bCs/>
                <w:color w:val="auto"/>
                <w:kern w:val="0"/>
                <w:sz w:val="21"/>
                <w:szCs w:val="21"/>
                <w:highlight w:val="none"/>
              </w:rPr>
              <w:t>律职业资格证书的得3分（不论人数），无不得分。</w:t>
            </w:r>
          </w:p>
          <w:p>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5.拟派服务于本项目的人员具备2年及以上招标采购代理从业经历，提供1名人员得1分本项最多得3分。</w:t>
            </w:r>
          </w:p>
        </w:tc>
        <w:tc>
          <w:tcPr>
            <w:tcW w:w="2500" w:type="dxa"/>
            <w:vAlign w:val="center"/>
          </w:tcPr>
          <w:p>
            <w:pPr>
              <w:spacing w:line="240" w:lineRule="atLeast"/>
              <w:rPr>
                <w:rFonts w:hint="eastAsia" w:ascii="微软雅黑" w:hAnsi="微软雅黑" w:eastAsia="微软雅黑" w:cs="微软雅黑"/>
                <w:strike/>
                <w:color w:val="auto"/>
                <w:sz w:val="21"/>
                <w:szCs w:val="21"/>
                <w:highlight w:val="none"/>
              </w:rPr>
            </w:pPr>
            <w:r>
              <w:rPr>
                <w:rFonts w:hint="eastAsia" w:ascii="微软雅黑" w:hAnsi="微软雅黑" w:eastAsia="微软雅黑" w:cs="微软雅黑"/>
                <w:bCs/>
                <w:color w:val="auto"/>
                <w:kern w:val="0"/>
                <w:sz w:val="21"/>
                <w:szCs w:val="21"/>
                <w:highlight w:val="none"/>
              </w:rPr>
              <w:t>第1-4项提供服务团队的相关证书复印件，加盖代理机构公章。第5项提供项目服务团队人员招标采购代理从业经历承诺书(格式自拟), 服务团队人员与投标人签订的劳动合同复印件。</w:t>
            </w:r>
          </w:p>
        </w:tc>
      </w:tr>
    </w:tbl>
    <w:p>
      <w:pPr>
        <w:pStyle w:val="3"/>
        <w:spacing w:line="400" w:lineRule="exact"/>
        <w:rPr>
          <w:rFonts w:hint="eastAsia" w:ascii="微软雅黑" w:hAnsi="微软雅黑" w:eastAsia="微软雅黑" w:cs="微软雅黑"/>
          <w:color w:val="auto"/>
          <w:sz w:val="24"/>
          <w:szCs w:val="24"/>
          <w:highlight w:val="none"/>
        </w:rPr>
      </w:pPr>
      <w:bookmarkStart w:id="51" w:name="_Toc30319"/>
      <w:r>
        <w:rPr>
          <w:rFonts w:hint="eastAsia" w:ascii="微软雅黑" w:hAnsi="微软雅黑" w:eastAsia="微软雅黑" w:cs="微软雅黑"/>
          <w:color w:val="auto"/>
          <w:sz w:val="24"/>
          <w:szCs w:val="24"/>
          <w:highlight w:val="none"/>
        </w:rPr>
        <w:t>三、无效响应</w:t>
      </w:r>
      <w:bookmarkEnd w:id="51"/>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代理机构发生以下条款情况之一者，视为无效响应，其比选响应文件将被拒绝：</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（一）代理机构不符合规定的资格条件的；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（二）代理机构的法定代表人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或其授权代表未参加比选；</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（三）代理机构所提交的比选响应文件不按“第五篇比选响应文件编制要求”要求签署或盖章；</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（四）代理机构的报价超过采购预算或最高限价的；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（五）法定代表人为同一个人的两个及两个以上法人，母公司、全资子公司及其控股公司，在同一包采购中同时参与比选；</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（六）单位负责人为同一人或者存在直接控股、管理关系的不同代理机构，参加同一合同项下的政府采购活动的；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（七）为采购项目提供整体设计、规范编制或者项目管理、监理、检测等服务的代理机构，再参加该采购项目的其他采购活动；</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（八）代理机构比选有效期不满足竞争性比选文件要求的；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（九）代理机构比选响应文件内容有与国家现行法律法规相违背的内容，或附有采购人无法接受的条件；</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（十）代理机构以联合体形式参与比选的；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（十一）代理机构进行合同分包的；</w:t>
      </w:r>
    </w:p>
    <w:p>
      <w:pPr>
        <w:snapToGrid w:val="0"/>
        <w:spacing w:line="400" w:lineRule="exact"/>
        <w:ind w:firstLine="465"/>
        <w:rPr>
          <w:color w:val="auto"/>
          <w:highlight w:val="none"/>
        </w:rPr>
      </w:pPr>
      <w:r>
        <w:rPr>
          <w:rFonts w:hint="eastAsia" w:ascii="微软雅黑" w:hAnsi="微软雅黑" w:eastAsia="微软雅黑" w:cs="微软雅黑"/>
          <w:color w:val="auto"/>
          <w:sz w:val="24"/>
          <w:szCs w:val="24"/>
          <w:highlight w:val="none"/>
        </w:rPr>
        <w:t>（十二）代理机构被列入失信被执行人、重大税收违法案件当事人名单、政府采购严重违法失信行为记录名单及其他不符合《中华人民共和国政府采购法》第二十二条规定条件的。</w:t>
      </w:r>
    </w:p>
    <w:p>
      <w:pPr>
        <w:pStyle w:val="3"/>
        <w:spacing w:line="400" w:lineRule="exact"/>
        <w:rPr>
          <w:rFonts w:hint="eastAsia" w:ascii="微软雅黑" w:hAnsi="微软雅黑" w:eastAsia="微软雅黑" w:cs="微软雅黑"/>
          <w:color w:val="auto"/>
          <w:sz w:val="24"/>
          <w:szCs w:val="24"/>
          <w:highlight w:val="none"/>
        </w:rPr>
      </w:pPr>
      <w:bookmarkStart w:id="52" w:name="_Toc15215"/>
      <w:r>
        <w:rPr>
          <w:rFonts w:hint="eastAsia" w:ascii="微软雅黑" w:hAnsi="微软雅黑" w:eastAsia="微软雅黑" w:cs="微软雅黑"/>
          <w:color w:val="auto"/>
          <w:sz w:val="24"/>
          <w:szCs w:val="24"/>
          <w:highlight w:val="none"/>
        </w:rPr>
        <w:t>四、</w:t>
      </w:r>
      <w:bookmarkEnd w:id="48"/>
      <w:bookmarkEnd w:id="49"/>
      <w:r>
        <w:rPr>
          <w:rFonts w:hint="eastAsia" w:ascii="微软雅黑" w:hAnsi="微软雅黑" w:eastAsia="微软雅黑" w:cs="微软雅黑"/>
          <w:color w:val="auto"/>
          <w:sz w:val="24"/>
          <w:szCs w:val="24"/>
          <w:highlight w:val="none"/>
        </w:rPr>
        <w:t>采购终止</w:t>
      </w:r>
      <w:bookmarkEnd w:id="52"/>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出现下列情形之一的，采购人应当终止竞争性比选采购活动，发布项目终止公告并说明原因，重新开展采购活动：</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（一）因情况变化，不再符合规定的竞争性比选采购方式适用情形的；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（二）出现影响采购公正的违法、违规行为的；</w:t>
      </w:r>
    </w:p>
    <w:p>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（三）在采购过程中符合</w:t>
      </w:r>
      <w:r>
        <w:rPr>
          <w:rFonts w:hint="eastAsia" w:ascii="微软雅黑" w:hAnsi="微软雅黑" w:eastAsia="微软雅黑" w:cs="微软雅黑"/>
          <w:color w:val="auto"/>
          <w:sz w:val="24"/>
          <w:szCs w:val="24"/>
          <w:highlight w:val="none"/>
          <w:lang w:val="en-US" w:eastAsia="zh-CN"/>
        </w:rPr>
        <w:t>比选文件实质性</w:t>
      </w:r>
      <w:r>
        <w:rPr>
          <w:rFonts w:hint="eastAsia" w:ascii="微软雅黑" w:hAnsi="微软雅黑" w:eastAsia="微软雅黑" w:cs="微软雅黑"/>
          <w:color w:val="auto"/>
          <w:sz w:val="24"/>
          <w:szCs w:val="24"/>
          <w:highlight w:val="none"/>
        </w:rPr>
        <w:t>要求的代理机构或者报价未超过最高限价的代理机构不足3家。</w:t>
      </w:r>
      <w:bookmarkStart w:id="53" w:name="_Toc25083"/>
      <w:bookmarkStart w:id="54" w:name="_Toc102227313"/>
      <w:bookmarkStart w:id="55" w:name="_Toc11641055"/>
      <w:bookmarkStart w:id="56" w:name="_Toc12789059"/>
    </w:p>
    <w:p>
      <w:pPr>
        <w:pStyle w:val="2"/>
        <w:spacing w:line="360" w:lineRule="auto"/>
        <w:jc w:val="center"/>
        <w:rPr>
          <w:rFonts w:hint="eastAsia" w:ascii="微软雅黑" w:hAnsi="微软雅黑" w:eastAsia="微软雅黑" w:cs="微软雅黑"/>
          <w:b w:val="0"/>
          <w:color w:val="auto"/>
          <w:szCs w:val="30"/>
          <w:highlight w:val="none"/>
        </w:rPr>
      </w:pPr>
      <w:r>
        <w:rPr>
          <w:rFonts w:hint="eastAsia" w:ascii="微软雅黑" w:hAnsi="微软雅黑" w:eastAsia="微软雅黑" w:cs="微软雅黑"/>
          <w:b w:val="0"/>
          <w:color w:val="auto"/>
          <w:sz w:val="36"/>
          <w:szCs w:val="30"/>
          <w:highlight w:val="none"/>
        </w:rPr>
        <w:br w:type="page"/>
      </w:r>
      <w:bookmarkStart w:id="57" w:name="_Toc6069"/>
      <w:r>
        <w:rPr>
          <w:rFonts w:hint="eastAsia" w:ascii="微软雅黑" w:hAnsi="微软雅黑" w:eastAsia="微软雅黑" w:cs="微软雅黑"/>
          <w:b w:val="0"/>
          <w:color w:val="auto"/>
          <w:sz w:val="36"/>
          <w:szCs w:val="30"/>
          <w:highlight w:val="none"/>
        </w:rPr>
        <w:t>第四篇  代理机构须知</w:t>
      </w:r>
      <w:bookmarkEnd w:id="53"/>
      <w:bookmarkEnd w:id="54"/>
      <w:bookmarkEnd w:id="57"/>
    </w:p>
    <w:p>
      <w:pPr>
        <w:pStyle w:val="3"/>
        <w:spacing w:line="440" w:lineRule="exact"/>
        <w:rPr>
          <w:rFonts w:hint="eastAsia" w:ascii="微软雅黑" w:hAnsi="微软雅黑" w:eastAsia="微软雅黑" w:cs="微软雅黑"/>
          <w:color w:val="auto"/>
          <w:sz w:val="24"/>
          <w:szCs w:val="24"/>
          <w:highlight w:val="none"/>
        </w:rPr>
      </w:pPr>
      <w:bookmarkStart w:id="58" w:name="_Toc342913389"/>
      <w:bookmarkStart w:id="59" w:name="_Toc9003"/>
      <w:bookmarkStart w:id="60" w:name="_Toc3716"/>
      <w:r>
        <w:rPr>
          <w:rFonts w:hint="eastAsia" w:ascii="微软雅黑" w:hAnsi="微软雅黑" w:eastAsia="微软雅黑" w:cs="微软雅黑"/>
          <w:color w:val="auto"/>
          <w:sz w:val="24"/>
          <w:szCs w:val="24"/>
          <w:highlight w:val="none"/>
        </w:rPr>
        <w:t>一、比选费用</w:t>
      </w:r>
      <w:bookmarkEnd w:id="58"/>
      <w:bookmarkEnd w:id="59"/>
      <w:bookmarkEnd w:id="60"/>
    </w:p>
    <w:p>
      <w:pPr>
        <w:pStyle w:val="19"/>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参与比选的代理机构应承担其编制比选响应文件与递交比选响应文件所涉及的一切费用，不论比选结果如何，采购人在任何情况下无义务也无责任承担这些费用。</w:t>
      </w:r>
    </w:p>
    <w:p>
      <w:pPr>
        <w:pStyle w:val="3"/>
        <w:tabs>
          <w:tab w:val="left" w:pos="2640"/>
        </w:tabs>
        <w:spacing w:line="400" w:lineRule="exact"/>
        <w:rPr>
          <w:rFonts w:hint="eastAsia" w:ascii="微软雅黑" w:hAnsi="微软雅黑" w:eastAsia="微软雅黑" w:cs="微软雅黑"/>
          <w:color w:val="auto"/>
          <w:sz w:val="24"/>
          <w:szCs w:val="24"/>
          <w:highlight w:val="none"/>
        </w:rPr>
      </w:pPr>
      <w:bookmarkStart w:id="61" w:name="_Toc19556"/>
      <w:bookmarkStart w:id="62" w:name="_Toc7904"/>
      <w:bookmarkStart w:id="63" w:name="_Toc342913391"/>
      <w:r>
        <w:rPr>
          <w:rFonts w:hint="eastAsia" w:ascii="微软雅黑" w:hAnsi="微软雅黑" w:eastAsia="微软雅黑" w:cs="微软雅黑"/>
          <w:color w:val="auto"/>
          <w:sz w:val="24"/>
          <w:szCs w:val="24"/>
          <w:highlight w:val="none"/>
        </w:rPr>
        <w:t>二、竞争性比选文件</w:t>
      </w:r>
      <w:bookmarkEnd w:id="61"/>
      <w:bookmarkEnd w:id="62"/>
      <w:bookmarkEnd w:id="63"/>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（一）竞争性比选文件由采购邀请书、项目服务需求、项目商务需求、竞选程序及方法、评审标准、无效响应和采购终止、代理机构须知、政府采购合同、比选响应文件编制要求七部分组成。</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（二）采购人所作的一切有效的书面通知、修改及补充，都是竞争性比选文件不可分割的部分。</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bookmarkStart w:id="64" w:name="_Toc318159349"/>
      <w:bookmarkStart w:id="65" w:name="_Toc318159160"/>
      <w:bookmarkStart w:id="66" w:name="_Toc318159780"/>
      <w:bookmarkStart w:id="67" w:name="_Toc318166429"/>
      <w:r>
        <w:rPr>
          <w:rFonts w:hint="eastAsia" w:ascii="微软雅黑" w:hAnsi="微软雅黑" w:eastAsia="微软雅黑" w:cs="微软雅黑"/>
          <w:color w:val="auto"/>
          <w:sz w:val="24"/>
          <w:szCs w:val="24"/>
          <w:highlight w:val="none"/>
        </w:rPr>
        <w:t>（三）竞争性比选文件的解释</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代理机构如对竞争性比选文件有疑问，必须以书面形式在提交比选响应文件截止时间3个工作日前向采购人要求澄清，采购人可视具体情况做出处理或答复。如代理机构未提出疑问，视为完全理解并同意本竞争性比选文件。一经进入比选程序，即视为代理机构已详细阅读全部文件资料，完全理解竞争性比选文件所有条款内容并同意放弃对这方面有不明白及误解的权利。</w:t>
      </w:r>
    </w:p>
    <w:p>
      <w:pPr>
        <w:snapToGrid w:val="0"/>
        <w:spacing w:line="400" w:lineRule="exact"/>
        <w:ind w:firstLine="480" w:firstLineChars="200"/>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四）评审的依据为竞争性比选文件和比选响应文件（含有效的书面承诺）。比选小组判断比选响应文件对竞争性比选文件的响应，仅基于比选响应文件本身而不靠外部证据（本比选文件第三篇澄清有关问题除外）。</w:t>
      </w:r>
    </w:p>
    <w:bookmarkEnd w:id="64"/>
    <w:bookmarkEnd w:id="65"/>
    <w:bookmarkEnd w:id="66"/>
    <w:bookmarkEnd w:id="67"/>
    <w:p>
      <w:pPr>
        <w:pStyle w:val="3"/>
        <w:spacing w:line="400" w:lineRule="exact"/>
        <w:rPr>
          <w:rFonts w:hint="eastAsia" w:ascii="微软雅黑" w:hAnsi="微软雅黑" w:eastAsia="微软雅黑" w:cs="微软雅黑"/>
          <w:color w:val="auto"/>
          <w:sz w:val="24"/>
          <w:szCs w:val="24"/>
          <w:highlight w:val="none"/>
        </w:rPr>
      </w:pPr>
      <w:bookmarkStart w:id="68" w:name="_Toc102227318"/>
      <w:bookmarkStart w:id="69" w:name="_Toc27595"/>
      <w:bookmarkStart w:id="70" w:name="_Toc179714297"/>
      <w:bookmarkStart w:id="71" w:name="_Toc2145"/>
      <w:bookmarkStart w:id="72" w:name="_Toc342913392"/>
      <w:r>
        <w:rPr>
          <w:rFonts w:hint="eastAsia" w:ascii="微软雅黑" w:hAnsi="微软雅黑" w:eastAsia="微软雅黑" w:cs="微软雅黑"/>
          <w:color w:val="auto"/>
          <w:sz w:val="24"/>
          <w:szCs w:val="24"/>
          <w:highlight w:val="none"/>
        </w:rPr>
        <w:t>三、比选要求</w:t>
      </w:r>
      <w:bookmarkEnd w:id="68"/>
      <w:bookmarkEnd w:id="69"/>
      <w:bookmarkEnd w:id="70"/>
      <w:bookmarkEnd w:id="71"/>
      <w:bookmarkEnd w:id="72"/>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（一）比选响应文件</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1、代理机构应当按照竞争性比选文件的要求编制比选响应文件，并对竞争性比选文件提出的要求和条件作出实质性响应，比选响应文件原则上采用软面订本，同时应编制完整的页码、目录。</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2、比选响应文件组成</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比选响应文件由第五篇“比选响应文件编制要求”规定的部分和代理机构所作的一切有效补充、修改和承诺等文件组成，代理机构应按照第五篇“比选响应文件编制要求”规定的目录顺序组织编写和装订，也可在基本格式基础上对表格进行扩展，未规定格式的由代理机构自定格式。</w:t>
      </w:r>
    </w:p>
    <w:p>
      <w:pPr>
        <w:numPr>
          <w:ilvl w:val="0"/>
          <w:numId w:val="2"/>
        </w:num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联合体</w:t>
      </w:r>
    </w:p>
    <w:p>
      <w:pPr>
        <w:spacing w:line="400" w:lineRule="exact"/>
        <w:ind w:firstLine="480" w:firstLineChars="200"/>
        <w:rPr>
          <w:color w:val="auto"/>
          <w:highlight w:val="none"/>
        </w:rPr>
      </w:pPr>
      <w:r>
        <w:rPr>
          <w:rFonts w:hint="eastAsia" w:ascii="微软雅黑" w:hAnsi="微软雅黑" w:eastAsia="微软雅黑" w:cs="微软雅黑"/>
          <w:color w:val="auto"/>
          <w:sz w:val="24"/>
          <w:szCs w:val="24"/>
          <w:highlight w:val="none"/>
        </w:rPr>
        <w:t>本项目不接受联合体参与比选。</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（三）比选有效期：比选响应文件及有关承诺文件有效期为提交比选响应文件截止时间起90天。</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（四）修正错误</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1、若代理机构所递交的比选响应文件中的价格出现大写金额和小写金额不一致的错误，以大写金额修正为准。</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2、比选小组按上述修正错误的原则及方法修正代理机构的报价，代理机构同意并签字确认后，修正后的报价对代理机构具有约束作用。如果代理机构不接受修正后的价格，将失去成为成交代理机构的资格。</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（五）提交比选响应文件的份数和签署</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1、响应文件一式</w:t>
      </w:r>
      <w:r>
        <w:rPr>
          <w:rFonts w:hint="eastAsia" w:ascii="微软雅黑" w:hAnsi="微软雅黑" w:eastAsia="微软雅黑" w:cs="微软雅黑"/>
          <w:color w:val="auto"/>
          <w:sz w:val="24"/>
          <w:szCs w:val="24"/>
          <w:highlight w:val="none"/>
          <w:lang w:val="en-US" w:eastAsia="zh-CN"/>
        </w:rPr>
        <w:t>肆</w:t>
      </w:r>
      <w:r>
        <w:rPr>
          <w:rFonts w:hint="eastAsia" w:ascii="微软雅黑" w:hAnsi="微软雅黑" w:eastAsia="微软雅黑" w:cs="微软雅黑"/>
          <w:color w:val="auto"/>
          <w:sz w:val="24"/>
          <w:szCs w:val="24"/>
          <w:highlight w:val="none"/>
        </w:rPr>
        <w:t>份，其中正本一份，副本2份，电子文档一份（电子文档内容应与纸质文件正本一致，如不一致以纸质文件正本为准。推荐采用</w:t>
      </w:r>
      <w:r>
        <w:rPr>
          <w:rFonts w:hint="eastAsia" w:ascii="微软雅黑" w:hAnsi="微软雅黑" w:eastAsia="微软雅黑" w:cs="微软雅黑"/>
          <w:b/>
          <w:bCs/>
          <w:color w:val="auto"/>
          <w:sz w:val="24"/>
          <w:szCs w:val="24"/>
          <w:highlight w:val="none"/>
        </w:rPr>
        <w:t>U盘</w:t>
      </w:r>
      <w:r>
        <w:rPr>
          <w:rFonts w:hint="eastAsia" w:ascii="微软雅黑" w:hAnsi="微软雅黑" w:eastAsia="微软雅黑" w:cs="微软雅黑"/>
          <w:color w:val="auto"/>
          <w:sz w:val="24"/>
          <w:szCs w:val="24"/>
          <w:highlight w:val="none"/>
        </w:rPr>
        <w:t>为电子文档载体）；副本可为正本的复印件，应与正本一致，如出现不一致情况以正本为准。</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w:t>
      </w:r>
      <w:r>
        <w:rPr>
          <w:rFonts w:hint="eastAsia" w:ascii="微软雅黑" w:hAnsi="微软雅黑" w:eastAsia="微软雅黑" w:cs="微软雅黑"/>
          <w:color w:val="auto"/>
          <w:sz w:val="24"/>
          <w:highlight w:val="none"/>
        </w:rPr>
        <w:t>在比选响应文件正本中，竞争性比选文件第五篇比选响应文件编制要求中规定签署、盖章的地方必须按其规定签署、盖章。</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（六）比选响应文件的递交</w:t>
      </w:r>
    </w:p>
    <w:p>
      <w:pPr>
        <w:snapToGrid w:val="0"/>
        <w:spacing w:line="4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1. 比选响应文件的密封与标记</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highlight w:val="none"/>
        </w:rPr>
        <w:t>1.1比选响应文件的正本、副本、电子文档均应密封送达比选地点，应在封套上注明比选项目名称、代理机构名称。若正本、副本分别进行密封的，还应在封套上注明“正本”、“副本”、“电子文档”字样。</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（七）代理机构参与人员</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各个代理机构可根据采购人要求派1名代表参与比选，应为法定代表人（或负责人）或具有法定代表人（或负责人）授权委托书的授权代表。</w:t>
      </w:r>
    </w:p>
    <w:p>
      <w:pPr>
        <w:pStyle w:val="3"/>
        <w:spacing w:line="400" w:lineRule="exact"/>
        <w:rPr>
          <w:rFonts w:hint="eastAsia" w:ascii="微软雅黑" w:hAnsi="微软雅黑" w:eastAsia="微软雅黑" w:cs="微软雅黑"/>
          <w:color w:val="auto"/>
          <w:sz w:val="24"/>
          <w:szCs w:val="24"/>
          <w:highlight w:val="none"/>
        </w:rPr>
      </w:pPr>
      <w:bookmarkStart w:id="73" w:name="_Toc22541"/>
      <w:bookmarkStart w:id="74" w:name="_Toc20820"/>
      <w:r>
        <w:rPr>
          <w:rFonts w:hint="eastAsia" w:ascii="微软雅黑" w:hAnsi="微软雅黑" w:eastAsia="微软雅黑" w:cs="微软雅黑"/>
          <w:color w:val="auto"/>
          <w:sz w:val="24"/>
          <w:szCs w:val="24"/>
          <w:highlight w:val="none"/>
        </w:rPr>
        <w:t>四、成交代理机构的确认和变更</w:t>
      </w:r>
      <w:bookmarkEnd w:id="73"/>
      <w:bookmarkEnd w:id="74"/>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（一）中选人的确认</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采购人应当在收到评审报告后5个工作日内，从评审报告提出的成交候选代理机构中，按照排序由高到低的原则确定中选人，也可以书面授权比选小组直接确定中选人。采购人逾期未确定成交代理机构且不提出异议的，视为确定评审报告提出的排序前三的代理机构为中选人。</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（二）中选人的变更</w:t>
      </w:r>
    </w:p>
    <w:p>
      <w:pPr>
        <w:snapToGrid w:val="0"/>
        <w:spacing w:line="4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中选人拒绝与采购人签订合同的，采购人可以按照评标报告推荐的中选人顺序，确定排名下一位的候选人为</w:t>
      </w:r>
      <w:r>
        <w:rPr>
          <w:rFonts w:hint="eastAsia" w:ascii="微软雅黑" w:hAnsi="微软雅黑" w:eastAsia="微软雅黑" w:cs="微软雅黑"/>
          <w:color w:val="auto"/>
          <w:sz w:val="24"/>
          <w:szCs w:val="24"/>
          <w:highlight w:val="none"/>
        </w:rPr>
        <w:t>中选人</w:t>
      </w:r>
      <w:r>
        <w:rPr>
          <w:rFonts w:hint="eastAsia" w:ascii="微软雅黑" w:hAnsi="微软雅黑" w:eastAsia="微软雅黑" w:cs="微软雅黑"/>
          <w:color w:val="auto"/>
          <w:sz w:val="24"/>
          <w:highlight w:val="none"/>
        </w:rPr>
        <w:t>，也可以重新开展采购活动。</w:t>
      </w:r>
    </w:p>
    <w:p>
      <w:pPr>
        <w:pStyle w:val="3"/>
        <w:spacing w:line="400" w:lineRule="exact"/>
        <w:rPr>
          <w:rFonts w:hint="eastAsia" w:ascii="微软雅黑" w:hAnsi="微软雅黑" w:eastAsia="微软雅黑" w:cs="微软雅黑"/>
          <w:color w:val="auto"/>
          <w:sz w:val="24"/>
          <w:szCs w:val="24"/>
          <w:highlight w:val="none"/>
        </w:rPr>
      </w:pPr>
      <w:bookmarkStart w:id="75" w:name="_Toc102227321"/>
      <w:bookmarkStart w:id="76" w:name="_Toc8404"/>
      <w:bookmarkStart w:id="77" w:name="_Toc342913395"/>
      <w:bookmarkStart w:id="78" w:name="_Toc9867"/>
      <w:r>
        <w:rPr>
          <w:rFonts w:hint="eastAsia" w:ascii="微软雅黑" w:hAnsi="微软雅黑" w:eastAsia="微软雅黑" w:cs="微软雅黑"/>
          <w:color w:val="auto"/>
          <w:sz w:val="24"/>
          <w:szCs w:val="24"/>
          <w:highlight w:val="none"/>
        </w:rPr>
        <w:t>五、成交通知</w:t>
      </w:r>
      <w:bookmarkEnd w:id="75"/>
      <w:bookmarkEnd w:id="76"/>
      <w:bookmarkEnd w:id="77"/>
      <w:bookmarkEnd w:id="78"/>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（一）采购人将在重庆两江新区人民医院官网上发布成交结果公告。</w:t>
      </w:r>
    </w:p>
    <w:p>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（二）结果公告发出同时，采购人将以书面形式或口头通知发出中选通知。中选通知一经发出即发生法律效力。</w:t>
      </w:r>
    </w:p>
    <w:p>
      <w:pPr>
        <w:pStyle w:val="3"/>
        <w:spacing w:line="400" w:lineRule="exact"/>
        <w:rPr>
          <w:rFonts w:hint="eastAsia" w:ascii="微软雅黑" w:hAnsi="微软雅黑" w:eastAsia="微软雅黑" w:cs="微软雅黑"/>
          <w:color w:val="auto"/>
          <w:sz w:val="24"/>
          <w:szCs w:val="24"/>
          <w:highlight w:val="none"/>
        </w:rPr>
      </w:pPr>
      <w:bookmarkStart w:id="79" w:name="_Toc102227322"/>
      <w:bookmarkStart w:id="80" w:name="_Toc342913396"/>
      <w:bookmarkStart w:id="81" w:name="_Toc5478"/>
      <w:bookmarkStart w:id="82" w:name="_Toc3328"/>
      <w:r>
        <w:rPr>
          <w:rFonts w:hint="eastAsia" w:ascii="微软雅黑" w:hAnsi="微软雅黑" w:eastAsia="微软雅黑" w:cs="微软雅黑"/>
          <w:color w:val="auto"/>
          <w:sz w:val="24"/>
          <w:szCs w:val="24"/>
          <w:highlight w:val="none"/>
        </w:rPr>
        <w:t>六、签订</w:t>
      </w:r>
      <w:bookmarkEnd w:id="79"/>
      <w:r>
        <w:rPr>
          <w:rFonts w:hint="eastAsia" w:ascii="微软雅黑" w:hAnsi="微软雅黑" w:eastAsia="微软雅黑" w:cs="微软雅黑"/>
          <w:color w:val="auto"/>
          <w:sz w:val="24"/>
          <w:szCs w:val="24"/>
          <w:highlight w:val="none"/>
        </w:rPr>
        <w:t>合同</w:t>
      </w:r>
      <w:bookmarkEnd w:id="80"/>
      <w:bookmarkEnd w:id="81"/>
      <w:bookmarkEnd w:id="82"/>
    </w:p>
    <w:p>
      <w:pPr>
        <w:spacing w:line="40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（一）采购人原则上应在成交通知书发出之日起</w:t>
      </w:r>
      <w:r>
        <w:rPr>
          <w:rFonts w:hint="eastAsia" w:ascii="微软雅黑" w:hAnsi="微软雅黑" w:eastAsia="微软雅黑" w:cs="微软雅黑"/>
          <w:color w:val="auto"/>
          <w:sz w:val="24"/>
          <w:szCs w:val="24"/>
          <w:highlight w:val="none"/>
          <w:lang w:val="en-US" w:eastAsia="zh-CN"/>
        </w:rPr>
        <w:t>三</w:t>
      </w:r>
      <w:r>
        <w:rPr>
          <w:rFonts w:hint="eastAsia" w:ascii="微软雅黑" w:hAnsi="微软雅黑" w:eastAsia="微软雅黑" w:cs="微软雅黑"/>
          <w:color w:val="auto"/>
          <w:sz w:val="24"/>
          <w:szCs w:val="24"/>
          <w:highlight w:val="none"/>
        </w:rPr>
        <w:t xml:space="preserve">十日内和成交代理机构签订采购合同，无正当理由不得拒绝或拖延合同签订。所签订的合同不得对竞争性比选文件和代理机构的比选响应文件作实质性修改。其他未尽事宜由采购人和成交代理机构在采购合同中详细约定。   </w:t>
      </w:r>
    </w:p>
    <w:p>
      <w:pPr>
        <w:spacing w:line="40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（二）竞争性比选文件、代理机构的比选响应文件及澄清文件等，均为签订采购合同的依据。</w:t>
      </w:r>
    </w:p>
    <w:p>
      <w:pPr>
        <w:spacing w:line="40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（三）合同生效条款由供需双方约定，法律、行政法规规定应当办理批准、登记等手续后生效的合同，依照其规定。</w:t>
      </w:r>
    </w:p>
    <w:p>
      <w:pPr>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（四）合同原则上应按采购人提供的合同文件签订，相关单位要求适用合同通用格式版本的，应按其要求另行签订其他合同。</w:t>
      </w:r>
    </w:p>
    <w:p>
      <w:pPr>
        <w:numPr>
          <w:ilvl w:val="0"/>
          <w:numId w:val="3"/>
        </w:numPr>
        <w:jc w:val="center"/>
        <w:outlineLvl w:val="0"/>
        <w:rPr>
          <w:rFonts w:hint="eastAsia" w:ascii="微软雅黑" w:hAnsi="微软雅黑" w:eastAsia="微软雅黑" w:cs="微软雅黑"/>
          <w:color w:val="auto"/>
          <w:sz w:val="36"/>
          <w:szCs w:val="30"/>
          <w:highlight w:val="none"/>
        </w:rPr>
      </w:pPr>
      <w:r>
        <w:rPr>
          <w:rFonts w:hint="eastAsia" w:ascii="微软雅黑" w:hAnsi="微软雅黑" w:eastAsia="微软雅黑" w:cs="微软雅黑"/>
          <w:color w:val="auto"/>
          <w:sz w:val="36"/>
          <w:szCs w:val="36"/>
          <w:highlight w:val="none"/>
        </w:rPr>
        <w:br w:type="page"/>
      </w:r>
      <w:bookmarkEnd w:id="55"/>
      <w:bookmarkEnd w:id="56"/>
      <w:bookmarkStart w:id="83" w:name="_Hlt41879464"/>
      <w:bookmarkEnd w:id="83"/>
      <w:bookmarkStart w:id="84" w:name="_Toc12789072"/>
      <w:r>
        <w:rPr>
          <w:rFonts w:hint="eastAsia" w:ascii="微软雅黑" w:hAnsi="微软雅黑" w:eastAsia="微软雅黑" w:cs="微软雅黑"/>
          <w:color w:val="auto"/>
          <w:sz w:val="36"/>
          <w:szCs w:val="30"/>
          <w:highlight w:val="none"/>
        </w:rPr>
        <w:t xml:space="preserve"> </w:t>
      </w:r>
      <w:bookmarkEnd w:id="84"/>
      <w:r>
        <w:rPr>
          <w:rFonts w:hint="eastAsia" w:ascii="微软雅黑" w:hAnsi="微软雅黑" w:eastAsia="微软雅黑" w:cs="微软雅黑"/>
          <w:color w:val="auto"/>
          <w:sz w:val="36"/>
          <w:szCs w:val="30"/>
          <w:highlight w:val="none"/>
        </w:rPr>
        <w:t>比选响应文件编制要求</w:t>
      </w:r>
    </w:p>
    <w:p>
      <w:pPr>
        <w:pStyle w:val="4"/>
        <w:rPr>
          <w:color w:val="auto"/>
          <w:highlight w:val="none"/>
        </w:rPr>
      </w:pPr>
    </w:p>
    <w:p>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一、响应文件封面</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二、经济部分</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三、服务响应偏离表</w:t>
      </w:r>
    </w:p>
    <w:p>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四、资格条件及其他</w:t>
      </w:r>
    </w:p>
    <w:p>
      <w:pPr>
        <w:spacing w:line="440" w:lineRule="exact"/>
        <w:ind w:firstLine="480" w:firstLineChars="200"/>
        <w:rPr>
          <w:rFonts w:hint="eastAsia" w:ascii="微软雅黑" w:hAnsi="微软雅黑" w:eastAsia="微软雅黑" w:cs="微软雅黑"/>
          <w:color w:val="auto"/>
          <w:sz w:val="24"/>
          <w:szCs w:val="24"/>
          <w:highlight w:val="none"/>
        </w:rPr>
      </w:pPr>
      <w:bookmarkStart w:id="85" w:name="_Toc342913419"/>
      <w:bookmarkStart w:id="86" w:name="_Toc313888360"/>
      <w:bookmarkStart w:id="87" w:name="_Toc313008356"/>
      <w:bookmarkStart w:id="88" w:name="_Toc12789073"/>
      <w:bookmarkStart w:id="89" w:name="_Toc283382454"/>
      <w:r>
        <w:rPr>
          <w:rFonts w:hint="eastAsia" w:ascii="微软雅黑" w:hAnsi="微软雅黑" w:eastAsia="微软雅黑" w:cs="微软雅黑"/>
          <w:color w:val="auto"/>
          <w:sz w:val="24"/>
          <w:szCs w:val="24"/>
          <w:highlight w:val="none"/>
        </w:rPr>
        <w:t>（一）一般资格条件</w:t>
      </w:r>
    </w:p>
    <w:p>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（二）特定资格条件</w:t>
      </w:r>
    </w:p>
    <w:p>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（三）评审因素需提供的资料</w:t>
      </w:r>
    </w:p>
    <w:p>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（四）其他应提供的资料</w:t>
      </w:r>
    </w:p>
    <w:p>
      <w:pPr>
        <w:spacing w:line="480" w:lineRule="exact"/>
        <w:ind w:firstLine="600" w:firstLineChars="2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 代理机构基本情况表</w:t>
      </w: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pStyle w:val="5"/>
        <w:rPr>
          <w:rFonts w:hint="eastAsia" w:ascii="微软雅黑" w:hAnsi="微软雅黑" w:eastAsia="微软雅黑" w:cs="微软雅黑"/>
          <w:color w:val="auto"/>
          <w:szCs w:val="24"/>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3"/>
        <w:spacing w:line="480" w:lineRule="exact"/>
        <w:rPr>
          <w:rFonts w:hint="eastAsia" w:ascii="微软雅黑" w:hAnsi="微软雅黑" w:eastAsia="微软雅黑" w:cs="微软雅黑"/>
          <w:b w:val="0"/>
          <w:color w:val="auto"/>
          <w:sz w:val="24"/>
          <w:szCs w:val="24"/>
          <w:highlight w:val="none"/>
        </w:rPr>
      </w:pPr>
      <w:bookmarkStart w:id="90" w:name="_Toc29985636"/>
      <w:bookmarkStart w:id="91" w:name="_Toc433792168"/>
      <w:bookmarkStart w:id="92" w:name="_Toc333412485"/>
      <w:bookmarkStart w:id="93" w:name="_Toc5201"/>
      <w:bookmarkStart w:id="94" w:name="_Toc375666796"/>
      <w:bookmarkStart w:id="95" w:name="_Toc332630166"/>
      <w:bookmarkStart w:id="96" w:name="_Toc350435647"/>
      <w:bookmarkStart w:id="97" w:name="_Toc377402559"/>
      <w:bookmarkStart w:id="98" w:name="_Toc16706"/>
      <w:bookmarkStart w:id="99" w:name="_Toc49159317"/>
      <w:bookmarkStart w:id="100" w:name="_Toc328052593"/>
      <w:bookmarkStart w:id="101" w:name="_Toc6818910"/>
      <w:bookmarkStart w:id="102" w:name="_Toc21936037"/>
      <w:bookmarkStart w:id="103" w:name="_Toc294083526"/>
      <w:bookmarkStart w:id="104" w:name="_Toc350093071"/>
      <w:bookmarkStart w:id="105" w:name="_Toc30668156"/>
      <w:bookmarkStart w:id="106" w:name="_Toc47955996"/>
      <w:bookmarkStart w:id="107" w:name="_Toc20656408"/>
      <w:bookmarkStart w:id="108" w:name="_Toc375841207"/>
      <w:bookmarkStart w:id="109" w:name="_Toc23185485"/>
      <w:bookmarkStart w:id="110" w:name="_Toc375840799"/>
      <w:r>
        <w:rPr>
          <w:rFonts w:hint="eastAsia" w:ascii="微软雅黑" w:hAnsi="微软雅黑" w:eastAsia="微软雅黑" w:cs="微软雅黑"/>
          <w:b w:val="0"/>
          <w:color w:val="auto"/>
          <w:sz w:val="24"/>
          <w:szCs w:val="24"/>
          <w:highlight w:val="none"/>
        </w:rPr>
        <w:t>一</w:t>
      </w:r>
      <w:r>
        <w:rPr>
          <w:rFonts w:hint="eastAsia" w:ascii="微软雅黑" w:hAnsi="微软雅黑" w:eastAsia="微软雅黑" w:cs="微软雅黑"/>
          <w:color w:val="auto"/>
          <w:sz w:val="24"/>
          <w:szCs w:val="24"/>
          <w:highlight w:val="none"/>
        </w:rPr>
        <w:t>、响应文件封面</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rPr>
          <w:rFonts w:hint="eastAsia" w:ascii="微软雅黑" w:hAnsi="微软雅黑" w:eastAsia="微软雅黑" w:cs="微软雅黑"/>
          <w:color w:val="auto"/>
          <w:highlight w:val="none"/>
        </w:rPr>
      </w:pPr>
    </w:p>
    <w:p>
      <w:pPr>
        <w:tabs>
          <w:tab w:val="left" w:pos="3600"/>
          <w:tab w:val="left" w:pos="4480"/>
          <w:tab w:val="left" w:pos="5360"/>
        </w:tabs>
        <w:autoSpaceDE w:val="0"/>
        <w:autoSpaceDN w:val="0"/>
        <w:adjustRightInd w:val="0"/>
        <w:snapToGrid w:val="0"/>
        <w:spacing w:line="360" w:lineRule="auto"/>
        <w:jc w:val="left"/>
        <w:rPr>
          <w:rFonts w:hint="eastAsia" w:ascii="微软雅黑" w:hAnsi="微软雅黑" w:eastAsia="微软雅黑" w:cs="微软雅黑"/>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center"/>
        <w:rPr>
          <w:rFonts w:hint="eastAsia" w:ascii="微软雅黑" w:hAnsi="微软雅黑" w:eastAsia="微软雅黑" w:cs="微软雅黑"/>
          <w:b/>
          <w:color w:val="auto"/>
          <w:kern w:val="0"/>
          <w:sz w:val="84"/>
          <w:szCs w:val="84"/>
          <w:highlight w:val="none"/>
        </w:rPr>
      </w:pPr>
      <w:r>
        <w:rPr>
          <w:rFonts w:hint="eastAsia" w:ascii="微软雅黑" w:hAnsi="微软雅黑" w:eastAsia="微软雅黑" w:cs="微软雅黑"/>
          <w:b/>
          <w:color w:val="auto"/>
          <w:kern w:val="0"/>
          <w:sz w:val="84"/>
          <w:szCs w:val="84"/>
          <w:highlight w:val="none"/>
        </w:rPr>
        <w:t>比选响应文件</w:t>
      </w:r>
    </w:p>
    <w:p>
      <w:pPr>
        <w:autoSpaceDE w:val="0"/>
        <w:autoSpaceDN w:val="0"/>
        <w:adjustRightInd w:val="0"/>
        <w:snapToGrid w:val="0"/>
        <w:spacing w:line="360" w:lineRule="auto"/>
        <w:jc w:val="left"/>
        <w:rPr>
          <w:rFonts w:hint="eastAsia" w:ascii="微软雅黑" w:hAnsi="微软雅黑" w:eastAsia="微软雅黑" w:cs="微软雅黑"/>
          <w:color w:val="auto"/>
          <w:kern w:val="0"/>
          <w:sz w:val="16"/>
          <w:szCs w:val="16"/>
          <w:highlight w:val="none"/>
        </w:rPr>
      </w:pPr>
    </w:p>
    <w:p>
      <w:pPr>
        <w:tabs>
          <w:tab w:val="left" w:pos="6904"/>
        </w:tabs>
        <w:autoSpaceDE w:val="0"/>
        <w:autoSpaceDN w:val="0"/>
        <w:adjustRightInd w:val="0"/>
        <w:snapToGrid w:val="0"/>
        <w:spacing w:line="360" w:lineRule="auto"/>
        <w:ind w:firstLine="951" w:firstLineChars="343"/>
        <w:jc w:val="left"/>
        <w:rPr>
          <w:rFonts w:hint="eastAsia" w:ascii="微软雅黑" w:hAnsi="微软雅黑" w:eastAsia="微软雅黑" w:cs="微软雅黑"/>
          <w:b/>
          <w:color w:val="auto"/>
          <w:kern w:val="0"/>
          <w:szCs w:val="28"/>
          <w:highlight w:val="none"/>
        </w:rPr>
      </w:pPr>
      <w:r>
        <w:rPr>
          <w:rFonts w:hint="eastAsia" w:ascii="微软雅黑" w:hAnsi="微软雅黑" w:eastAsia="微软雅黑" w:cs="微软雅黑"/>
          <w:b/>
          <w:color w:val="auto"/>
          <w:w w:val="99"/>
          <w:kern w:val="0"/>
          <w:szCs w:val="28"/>
          <w:highlight w:val="none"/>
        </w:rPr>
        <w:t>项目名称：</w:t>
      </w:r>
      <w:r>
        <w:rPr>
          <w:rFonts w:hint="eastAsia" w:ascii="微软雅黑" w:hAnsi="微软雅黑" w:eastAsia="微软雅黑" w:cs="微软雅黑"/>
          <w:b/>
          <w:color w:val="auto"/>
          <w:w w:val="99"/>
          <w:kern w:val="0"/>
          <w:szCs w:val="28"/>
          <w:highlight w:val="none"/>
          <w:u w:val="single"/>
        </w:rPr>
        <w:t xml:space="preserve">                      </w:t>
      </w:r>
      <w:r>
        <w:rPr>
          <w:rFonts w:hint="eastAsia" w:ascii="微软雅黑" w:hAnsi="微软雅黑" w:eastAsia="微软雅黑" w:cs="微软雅黑"/>
          <w:b/>
          <w:color w:val="auto"/>
          <w:kern w:val="0"/>
          <w:szCs w:val="28"/>
          <w:highlight w:val="none"/>
          <w:u w:val="single"/>
        </w:rPr>
        <w:t xml:space="preserve">               </w:t>
      </w:r>
    </w:p>
    <w:p>
      <w:pPr>
        <w:autoSpaceDE w:val="0"/>
        <w:autoSpaceDN w:val="0"/>
        <w:adjustRightInd w:val="0"/>
        <w:snapToGrid w:val="0"/>
        <w:spacing w:line="360" w:lineRule="auto"/>
        <w:jc w:val="left"/>
        <w:rPr>
          <w:rFonts w:hint="eastAsia" w:ascii="微软雅黑" w:hAnsi="微软雅黑" w:eastAsia="微软雅黑" w:cs="微软雅黑"/>
          <w:b/>
          <w:color w:val="auto"/>
          <w:kern w:val="0"/>
          <w:szCs w:val="28"/>
          <w:highlight w:val="none"/>
        </w:rPr>
      </w:pPr>
    </w:p>
    <w:p>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pPr>
        <w:tabs>
          <w:tab w:val="left" w:pos="6080"/>
          <w:tab w:val="left" w:pos="6640"/>
        </w:tabs>
        <w:autoSpaceDE w:val="0"/>
        <w:autoSpaceDN w:val="0"/>
        <w:adjustRightInd w:val="0"/>
        <w:snapToGrid w:val="0"/>
        <w:spacing w:line="360" w:lineRule="auto"/>
        <w:ind w:firstLine="1247" w:firstLineChars="450"/>
        <w:rPr>
          <w:rFonts w:hint="eastAsia" w:ascii="微软雅黑" w:hAnsi="微软雅黑" w:eastAsia="微软雅黑" w:cs="微软雅黑"/>
          <w:b/>
          <w:color w:val="auto"/>
          <w:w w:val="99"/>
          <w:kern w:val="0"/>
          <w:szCs w:val="28"/>
          <w:highlight w:val="none"/>
        </w:rPr>
      </w:pPr>
      <w:r>
        <w:rPr>
          <w:rFonts w:hint="eastAsia" w:ascii="微软雅黑" w:hAnsi="微软雅黑" w:eastAsia="微软雅黑" w:cs="微软雅黑"/>
          <w:b/>
          <w:color w:val="auto"/>
          <w:w w:val="99"/>
          <w:kern w:val="0"/>
          <w:szCs w:val="28"/>
          <w:highlight w:val="none"/>
        </w:rPr>
        <w:t>代理机构</w:t>
      </w:r>
      <w:r>
        <w:rPr>
          <w:rFonts w:hint="eastAsia" w:ascii="微软雅黑" w:hAnsi="微软雅黑" w:eastAsia="微软雅黑" w:cs="微软雅黑"/>
          <w:b/>
          <w:color w:val="auto"/>
          <w:spacing w:val="1"/>
          <w:w w:val="99"/>
          <w:kern w:val="0"/>
          <w:szCs w:val="28"/>
          <w:highlight w:val="none"/>
        </w:rPr>
        <w:t>：</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（公章）</w:t>
      </w:r>
    </w:p>
    <w:p>
      <w:pPr>
        <w:tabs>
          <w:tab w:val="left" w:pos="6080"/>
          <w:tab w:val="left" w:pos="6640"/>
        </w:tabs>
        <w:autoSpaceDE w:val="0"/>
        <w:autoSpaceDN w:val="0"/>
        <w:adjustRightInd w:val="0"/>
        <w:snapToGrid w:val="0"/>
        <w:spacing w:line="360" w:lineRule="auto"/>
        <w:ind w:firstLine="1247" w:firstLineChars="450"/>
        <w:rPr>
          <w:rFonts w:hint="eastAsia" w:ascii="微软雅黑" w:hAnsi="微软雅黑" w:eastAsia="微软雅黑" w:cs="微软雅黑"/>
          <w:b/>
          <w:color w:val="auto"/>
          <w:w w:val="99"/>
          <w:kern w:val="0"/>
          <w:szCs w:val="28"/>
          <w:highlight w:val="none"/>
        </w:rPr>
      </w:pPr>
      <w:r>
        <w:rPr>
          <w:rFonts w:hint="eastAsia" w:ascii="微软雅黑" w:hAnsi="微软雅黑" w:eastAsia="微软雅黑" w:cs="微软雅黑"/>
          <w:b/>
          <w:color w:val="auto"/>
          <w:w w:val="99"/>
          <w:kern w:val="0"/>
          <w:szCs w:val="28"/>
          <w:highlight w:val="none"/>
        </w:rPr>
        <w:t>法定代表人(或负责人)或其授权代表：</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（签字）</w:t>
      </w:r>
    </w:p>
    <w:p>
      <w:pPr>
        <w:tabs>
          <w:tab w:val="left" w:pos="3280"/>
          <w:tab w:val="left" w:pos="4680"/>
          <w:tab w:val="left" w:pos="6080"/>
        </w:tabs>
        <w:autoSpaceDE w:val="0"/>
        <w:autoSpaceDN w:val="0"/>
        <w:adjustRightInd w:val="0"/>
        <w:snapToGrid w:val="0"/>
        <w:spacing w:line="360" w:lineRule="auto"/>
        <w:jc w:val="center"/>
        <w:rPr>
          <w:rFonts w:hint="eastAsia" w:ascii="微软雅黑" w:hAnsi="微软雅黑" w:eastAsia="微软雅黑" w:cs="微软雅黑"/>
          <w:b/>
          <w:color w:val="auto"/>
          <w:w w:val="99"/>
          <w:kern w:val="0"/>
          <w:szCs w:val="28"/>
          <w:highlight w:val="none"/>
        </w:rPr>
      </w:pPr>
      <w:r>
        <w:rPr>
          <w:rFonts w:hint="eastAsia" w:ascii="微软雅黑" w:hAnsi="微软雅黑" w:eastAsia="微软雅黑" w:cs="微软雅黑"/>
          <w:b/>
          <w:color w:val="auto"/>
          <w:w w:val="99"/>
          <w:kern w:val="0"/>
          <w:szCs w:val="28"/>
          <w:highlight w:val="none"/>
          <w:u w:val="single"/>
        </w:rPr>
        <w:t xml:space="preserve">     　</w:t>
      </w:r>
      <w:r>
        <w:rPr>
          <w:rFonts w:hint="eastAsia" w:ascii="微软雅黑" w:hAnsi="微软雅黑" w:eastAsia="微软雅黑" w:cs="微软雅黑"/>
          <w:b/>
          <w:color w:val="auto"/>
          <w:w w:val="99"/>
          <w:kern w:val="0"/>
          <w:szCs w:val="28"/>
          <w:highlight w:val="none"/>
        </w:rPr>
        <w:t>年</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月</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日</w:t>
      </w:r>
    </w:p>
    <w:p>
      <w:pPr>
        <w:tabs>
          <w:tab w:val="left" w:pos="3280"/>
          <w:tab w:val="left" w:pos="4680"/>
          <w:tab w:val="left" w:pos="6080"/>
        </w:tabs>
        <w:autoSpaceDE w:val="0"/>
        <w:autoSpaceDN w:val="0"/>
        <w:adjustRightInd w:val="0"/>
        <w:snapToGrid w:val="0"/>
        <w:spacing w:line="360" w:lineRule="auto"/>
        <w:jc w:val="center"/>
        <w:rPr>
          <w:rFonts w:hint="eastAsia" w:ascii="微软雅黑" w:hAnsi="微软雅黑" w:eastAsia="微软雅黑" w:cs="微软雅黑"/>
          <w:b/>
          <w:color w:val="auto"/>
          <w:kern w:val="0"/>
          <w:szCs w:val="28"/>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5"/>
        <w:rPr>
          <w:color w:val="auto"/>
          <w:highlight w:val="none"/>
        </w:rPr>
      </w:pPr>
    </w:p>
    <w:p>
      <w:pPr>
        <w:rPr>
          <w:color w:val="auto"/>
          <w:highlight w:val="none"/>
        </w:rPr>
      </w:pPr>
    </w:p>
    <w:p>
      <w:pPr>
        <w:pStyle w:val="4"/>
        <w:rPr>
          <w:color w:val="auto"/>
          <w:highlight w:val="none"/>
        </w:rPr>
      </w:pPr>
    </w:p>
    <w:p>
      <w:pPr>
        <w:pStyle w:val="3"/>
        <w:spacing w:line="360" w:lineRule="auto"/>
        <w:rPr>
          <w:rFonts w:hint="eastAsia" w:ascii="微软雅黑" w:hAnsi="微软雅黑" w:eastAsia="微软雅黑" w:cs="微软雅黑"/>
          <w:color w:val="auto"/>
          <w:sz w:val="24"/>
          <w:szCs w:val="24"/>
          <w:highlight w:val="none"/>
        </w:rPr>
      </w:pPr>
      <w:bookmarkStart w:id="111" w:name="_Toc18577"/>
      <w:r>
        <w:rPr>
          <w:rFonts w:hint="eastAsia" w:ascii="微软雅黑" w:hAnsi="微软雅黑" w:eastAsia="微软雅黑" w:cs="微软雅黑"/>
          <w:color w:val="auto"/>
          <w:sz w:val="24"/>
          <w:szCs w:val="24"/>
          <w:highlight w:val="none"/>
        </w:rPr>
        <w:t>二、经济部分</w:t>
      </w:r>
      <w:bookmarkEnd w:id="85"/>
      <w:bookmarkEnd w:id="86"/>
      <w:bookmarkEnd w:id="87"/>
      <w:bookmarkEnd w:id="111"/>
    </w:p>
    <w:bookmarkEnd w:id="88"/>
    <w:bookmarkEnd w:id="89"/>
    <w:p>
      <w:pPr>
        <w:tabs>
          <w:tab w:val="left" w:pos="6300"/>
        </w:tabs>
        <w:snapToGrid w:val="0"/>
        <w:spacing w:line="312" w:lineRule="auto"/>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（一）竞争性比选报价函</w:t>
      </w:r>
    </w:p>
    <w:p>
      <w:pPr>
        <w:tabs>
          <w:tab w:val="left" w:pos="6300"/>
        </w:tabs>
        <w:snapToGrid w:val="0"/>
        <w:spacing w:line="480" w:lineRule="exact"/>
        <w:jc w:val="center"/>
        <w:rPr>
          <w:rFonts w:hint="eastAsia" w:ascii="微软雅黑" w:hAnsi="微软雅黑" w:eastAsia="微软雅黑" w:cs="微软雅黑"/>
          <w:b/>
          <w:color w:val="auto"/>
          <w:szCs w:val="28"/>
          <w:highlight w:val="none"/>
        </w:rPr>
      </w:pPr>
      <w:r>
        <w:rPr>
          <w:rFonts w:hint="eastAsia" w:ascii="微软雅黑" w:hAnsi="微软雅黑" w:eastAsia="微软雅黑" w:cs="微软雅黑"/>
          <w:b/>
          <w:color w:val="auto"/>
          <w:szCs w:val="28"/>
          <w:highlight w:val="none"/>
        </w:rPr>
        <w:t>竞争性比选报价函</w:t>
      </w:r>
    </w:p>
    <w:p>
      <w:pPr>
        <w:tabs>
          <w:tab w:val="left" w:pos="6300"/>
        </w:tabs>
        <w:snapToGrid w:val="0"/>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u w:val="single"/>
        </w:rPr>
        <w:t>（采购人名称）</w:t>
      </w:r>
      <w:r>
        <w:rPr>
          <w:rFonts w:hint="eastAsia" w:ascii="微软雅黑" w:hAnsi="微软雅黑" w:eastAsia="微软雅黑" w:cs="微软雅黑"/>
          <w:color w:val="auto"/>
          <w:sz w:val="24"/>
          <w:szCs w:val="24"/>
          <w:highlight w:val="none"/>
        </w:rPr>
        <w:t>：</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我方收到____________________________（项目名称）的竞争性比选文件，经详细研究，决定参加该项目的比选。</w:t>
      </w:r>
    </w:p>
    <w:p>
      <w:pPr>
        <w:tabs>
          <w:tab w:val="left" w:pos="6300"/>
        </w:tabs>
        <w:snapToGrid w:val="0"/>
        <w:spacing w:line="400" w:lineRule="exact"/>
        <w:ind w:firstLine="480" w:firstLineChars="200"/>
        <w:jc w:val="left"/>
        <w:rPr>
          <w:rFonts w:hint="eastAsia" w:ascii="方正仿宋_GBK" w:hAnsi="方正仿宋_GBK" w:eastAsia="微软雅黑" w:cs="方正仿宋_GBK"/>
          <w:b/>
          <w:bCs/>
          <w:color w:val="auto"/>
          <w:sz w:val="24"/>
          <w:szCs w:val="24"/>
          <w:highlight w:val="none"/>
        </w:rPr>
      </w:pPr>
      <w:r>
        <w:rPr>
          <w:rFonts w:hint="eastAsia" w:ascii="微软雅黑" w:hAnsi="微软雅黑" w:eastAsia="微软雅黑" w:cs="微软雅黑"/>
          <w:color w:val="auto"/>
          <w:sz w:val="24"/>
          <w:szCs w:val="24"/>
          <w:highlight w:val="none"/>
        </w:rPr>
        <w:t>1、愿意按照竞争性比选文件中的一切要求，提供本项目的技术服务，报价为招标代理服务费</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%的折扣。</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2、我方现提交的比选响应文件为：比选响应文件正本</w:t>
      </w:r>
      <w:r>
        <w:rPr>
          <w:rFonts w:hint="eastAsia" w:ascii="微软雅黑" w:hAnsi="微软雅黑" w:eastAsia="微软雅黑" w:cs="微软雅黑"/>
          <w:color w:val="auto"/>
          <w:sz w:val="24"/>
          <w:szCs w:val="24"/>
          <w:highlight w:val="none"/>
          <w:u w:val="single"/>
        </w:rPr>
        <w:t xml:space="preserve"> 1 </w:t>
      </w:r>
      <w:r>
        <w:rPr>
          <w:rFonts w:hint="eastAsia" w:ascii="微软雅黑" w:hAnsi="微软雅黑" w:eastAsia="微软雅黑" w:cs="微软雅黑"/>
          <w:color w:val="auto"/>
          <w:sz w:val="24"/>
          <w:szCs w:val="24"/>
          <w:highlight w:val="none"/>
        </w:rPr>
        <w:t>份，副本</w:t>
      </w:r>
      <w:r>
        <w:rPr>
          <w:rFonts w:hint="eastAsia" w:ascii="微软雅黑" w:hAnsi="微软雅黑" w:eastAsia="微软雅黑" w:cs="微软雅黑"/>
          <w:color w:val="auto"/>
          <w:sz w:val="24"/>
          <w:szCs w:val="24"/>
          <w:highlight w:val="none"/>
          <w:u w:val="single"/>
        </w:rPr>
        <w:t xml:space="preserve"> 2 </w:t>
      </w:r>
      <w:r>
        <w:rPr>
          <w:rFonts w:hint="eastAsia" w:ascii="微软雅黑" w:hAnsi="微软雅黑" w:eastAsia="微软雅黑" w:cs="微软雅黑"/>
          <w:color w:val="auto"/>
          <w:sz w:val="24"/>
          <w:szCs w:val="24"/>
          <w:highlight w:val="none"/>
        </w:rPr>
        <w:t>份</w:t>
      </w:r>
      <w:r>
        <w:rPr>
          <w:rFonts w:hint="eastAsia" w:ascii="宋体" w:hAnsi="宋体" w:cs="宋体"/>
          <w:color w:val="auto"/>
          <w:sz w:val="24"/>
          <w:szCs w:val="24"/>
          <w:highlight w:val="none"/>
        </w:rPr>
        <w:t>，</w:t>
      </w:r>
      <w:r>
        <w:rPr>
          <w:rFonts w:hint="eastAsia" w:ascii="微软雅黑" w:hAnsi="微软雅黑" w:eastAsia="微软雅黑" w:cs="微软雅黑"/>
          <w:color w:val="auto"/>
          <w:sz w:val="24"/>
          <w:szCs w:val="24"/>
          <w:highlight w:val="none"/>
        </w:rPr>
        <w:t>电子文档</w:t>
      </w:r>
      <w:r>
        <w:rPr>
          <w:rFonts w:hint="eastAsia" w:ascii="微软雅黑" w:hAnsi="微软雅黑" w:eastAsia="微软雅黑" w:cs="微软雅黑"/>
          <w:color w:val="auto"/>
          <w:sz w:val="24"/>
          <w:szCs w:val="24"/>
          <w:highlight w:val="none"/>
          <w:u w:val="single"/>
        </w:rPr>
        <w:t xml:space="preserve">1 </w:t>
      </w:r>
      <w:r>
        <w:rPr>
          <w:rFonts w:hint="eastAsia" w:ascii="微软雅黑" w:hAnsi="微软雅黑" w:eastAsia="微软雅黑" w:cs="微软雅黑"/>
          <w:color w:val="auto"/>
          <w:sz w:val="24"/>
          <w:szCs w:val="24"/>
          <w:highlight w:val="none"/>
        </w:rPr>
        <w:t>份。</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3、我方承诺：本次比选的有效期为提交比选响应文件截止时间起90天。</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4、我方完全理解和接受贵方竞争性比选文件的一切规定和要求及评审办法。</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5、在整个竞争性比选过程中，我方若有违规行为，接受按照《中华人民共和国政府采购法》及其实施条例等规定给予惩罚。</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6、我方若成为成交代理机构，将按照最终比选结果签订合同，并且严格履行合同义务。本承诺函将成为合同不可分割的一部分，与合同具有同等的法律效力。</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7、我方理解，最低报价不是成交的唯一条件</w:t>
      </w:r>
      <w:r>
        <w:rPr>
          <w:rFonts w:hint="eastAsia" w:ascii="微软雅黑" w:hAnsi="微软雅黑" w:eastAsia="微软雅黑" w:cs="微软雅黑"/>
          <w:color w:val="auto"/>
          <w:sz w:val="24"/>
          <w:szCs w:val="28"/>
          <w:highlight w:val="none"/>
        </w:rPr>
        <w:t>。</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8、</w:t>
      </w:r>
      <w:r>
        <w:rPr>
          <w:rFonts w:hint="eastAsia" w:ascii="微软雅黑" w:hAnsi="微软雅黑" w:eastAsia="微软雅黑" w:cs="微软雅黑"/>
          <w:color w:val="auto"/>
          <w:sz w:val="24"/>
          <w:szCs w:val="28"/>
          <w:highlight w:val="none"/>
        </w:rPr>
        <w:t>我方未</w:t>
      </w:r>
      <w:r>
        <w:rPr>
          <w:rFonts w:hint="eastAsia" w:ascii="微软雅黑" w:hAnsi="微软雅黑" w:eastAsia="微软雅黑" w:cs="微软雅黑"/>
          <w:color w:val="auto"/>
          <w:sz w:val="24"/>
          <w:szCs w:val="24"/>
          <w:highlight w:val="none"/>
        </w:rPr>
        <w:t>为采购项目提供整体设计、规范编制或者项目管理、监理、检测等服务。</w:t>
      </w:r>
    </w:p>
    <w:p>
      <w:pPr>
        <w:tabs>
          <w:tab w:val="left" w:pos="6300"/>
        </w:tabs>
        <w:snapToGrid w:val="0"/>
        <w:spacing w:line="312" w:lineRule="auto"/>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9、我方不存在单位负责人为同一人或者存在直接控股、管理关系的不同代理机构，参加同一合同项下的采购活动的情况。</w:t>
      </w:r>
    </w:p>
    <w:p>
      <w:pPr>
        <w:tabs>
          <w:tab w:val="left" w:pos="6300"/>
        </w:tabs>
        <w:snapToGrid w:val="0"/>
        <w:spacing w:line="312" w:lineRule="auto"/>
        <w:ind w:firstLine="480" w:firstLineChars="200"/>
        <w:rPr>
          <w:rFonts w:hint="eastAsia" w:ascii="微软雅黑" w:hAnsi="微软雅黑" w:eastAsia="微软雅黑" w:cs="微软雅黑"/>
          <w:color w:val="auto"/>
          <w:sz w:val="24"/>
          <w:szCs w:val="24"/>
          <w:highlight w:val="none"/>
        </w:rPr>
      </w:pP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代理机构（公章）签署：</w:t>
      </w: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地址：  </w:t>
      </w: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电话：                                             传真：</w:t>
      </w: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网址：                                             邮编：</w:t>
      </w:r>
    </w:p>
    <w:p>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联系人：</w:t>
      </w:r>
    </w:p>
    <w:p>
      <w:pPr>
        <w:snapToGrid w:val="0"/>
        <w:spacing w:line="312" w:lineRule="auto"/>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年   月   </w:t>
      </w:r>
    </w:p>
    <w:p>
      <w:pPr>
        <w:pStyle w:val="4"/>
        <w:rPr>
          <w:rFonts w:hint="eastAsia" w:ascii="微软雅黑" w:hAnsi="微软雅黑" w:eastAsia="微软雅黑" w:cs="微软雅黑"/>
          <w:color w:val="auto"/>
          <w:sz w:val="24"/>
          <w:szCs w:val="24"/>
          <w:highlight w:val="none"/>
        </w:rPr>
      </w:pPr>
    </w:p>
    <w:p>
      <w:pPr>
        <w:pStyle w:val="4"/>
        <w:rPr>
          <w:color w:val="auto"/>
          <w:highlight w:val="none"/>
        </w:rPr>
        <w:sectPr>
          <w:headerReference r:id="rId10" w:type="default"/>
          <w:footerReference r:id="rId11" w:type="default"/>
          <w:pgSz w:w="11907" w:h="16840"/>
          <w:pgMar w:top="1134" w:right="1191" w:bottom="1134" w:left="1304" w:header="851" w:footer="992" w:gutter="0"/>
          <w:pgNumType w:fmt="numberInDash"/>
          <w:cols w:space="720" w:num="1"/>
          <w:docGrid w:linePitch="380" w:charSpace="-5735"/>
        </w:sectPr>
      </w:pPr>
    </w:p>
    <w:p>
      <w:pPr>
        <w:pStyle w:val="3"/>
        <w:spacing w:line="360" w:lineRule="auto"/>
        <w:rPr>
          <w:rFonts w:hint="eastAsia" w:ascii="微软雅黑" w:hAnsi="微软雅黑" w:eastAsia="微软雅黑" w:cs="微软雅黑"/>
          <w:color w:val="auto"/>
          <w:sz w:val="24"/>
          <w:szCs w:val="24"/>
          <w:highlight w:val="none"/>
        </w:rPr>
      </w:pPr>
      <w:bookmarkStart w:id="112" w:name="_Toc313008357"/>
      <w:bookmarkStart w:id="113" w:name="_Toc342913420"/>
      <w:bookmarkStart w:id="114" w:name="_Toc30062"/>
      <w:bookmarkStart w:id="115" w:name="_Toc313888361"/>
      <w:r>
        <w:rPr>
          <w:rFonts w:hint="eastAsia" w:ascii="微软雅黑" w:hAnsi="微软雅黑" w:eastAsia="微软雅黑" w:cs="微软雅黑"/>
          <w:color w:val="auto"/>
          <w:sz w:val="24"/>
          <w:szCs w:val="24"/>
          <w:highlight w:val="none"/>
        </w:rPr>
        <w:t>三、服务部分</w:t>
      </w:r>
      <w:bookmarkEnd w:id="112"/>
      <w:bookmarkEnd w:id="113"/>
      <w:bookmarkEnd w:id="114"/>
      <w:bookmarkEnd w:id="115"/>
    </w:p>
    <w:p>
      <w:pPr>
        <w:snapToGrid w:val="0"/>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比选项目名称：</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7"/>
        <w:gridCol w:w="3081"/>
        <w:gridCol w:w="2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5" w:hRule="atLeast"/>
          <w:jc w:val="center"/>
        </w:trPr>
        <w:tc>
          <w:tcPr>
            <w:tcW w:w="660" w:type="pct"/>
            <w:vAlign w:val="center"/>
          </w:tcPr>
          <w:p>
            <w:pPr>
              <w:spacing w:line="50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序号</w:t>
            </w: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采购需求</w:t>
            </w: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响应情况</w:t>
            </w: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pPr>
              <w:spacing w:line="500" w:lineRule="exact"/>
              <w:ind w:firstLine="525" w:firstLineChars="250"/>
              <w:rPr>
                <w:rFonts w:hint="eastAsia" w:ascii="微软雅黑" w:hAnsi="微软雅黑" w:eastAsia="微软雅黑" w:cs="微软雅黑"/>
                <w:color w:val="auto"/>
                <w:sz w:val="21"/>
                <w:szCs w:val="21"/>
                <w:highlight w:val="none"/>
              </w:rPr>
            </w:pPr>
          </w:p>
        </w:tc>
      </w:tr>
    </w:tbl>
    <w:p>
      <w:pPr>
        <w:spacing w:line="500" w:lineRule="exact"/>
        <w:ind w:firstLine="600" w:firstLineChars="250"/>
        <w:rPr>
          <w:rFonts w:hint="eastAsia"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代理机构：                          法定代表人（或负责人）或其授权代表：</w:t>
      </w:r>
    </w:p>
    <w:p>
      <w:pPr>
        <w:spacing w:line="500" w:lineRule="exact"/>
        <w:rPr>
          <w:rFonts w:hint="eastAsia"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 xml:space="preserve">    （代理机构公章）                            （签署或盖章）</w:t>
      </w:r>
    </w:p>
    <w:p>
      <w:pPr>
        <w:tabs>
          <w:tab w:val="left" w:pos="6300"/>
        </w:tabs>
        <w:snapToGrid w:val="0"/>
        <w:spacing w:line="500" w:lineRule="exact"/>
        <w:ind w:firstLine="57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szCs w:val="28"/>
          <w:highlight w:val="none"/>
        </w:rPr>
        <w:t xml:space="preserve">                                          年     月     日</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bookmarkStart w:id="116" w:name="_Toc313008358"/>
      <w:bookmarkStart w:id="117" w:name="_Toc313888362"/>
      <w:bookmarkStart w:id="118" w:name="_Toc342913421"/>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注：</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1.本表即为对本项目“第二篇 项目服务需求”中所列全部内容进行比较和响应；</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2.该表必须按照竞争性比选要求逐条如实填写，根据响应情况在“差异说明”项填写正偏离或负偏离及原因，完全符合的填写“无差异”；</w:t>
      </w:r>
    </w:p>
    <w:p>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3.该表可扩展，并逐页签字或盖章；</w:t>
      </w:r>
    </w:p>
    <w:p>
      <w:pPr>
        <w:pStyle w:val="11"/>
        <w:rPr>
          <w:color w:val="auto"/>
          <w:highlight w:val="none"/>
        </w:rPr>
      </w:pPr>
    </w:p>
    <w:p>
      <w:pPr>
        <w:rPr>
          <w:color w:val="auto"/>
          <w:highlight w:val="none"/>
        </w:rPr>
      </w:pPr>
    </w:p>
    <w:p>
      <w:pPr>
        <w:rPr>
          <w:color w:val="auto"/>
          <w:highlight w:val="none"/>
        </w:rPr>
      </w:pPr>
    </w:p>
    <w:bookmarkEnd w:id="116"/>
    <w:bookmarkEnd w:id="117"/>
    <w:bookmarkEnd w:id="118"/>
    <w:p>
      <w:pPr>
        <w:pStyle w:val="3"/>
        <w:spacing w:line="360" w:lineRule="auto"/>
        <w:rPr>
          <w:rFonts w:hint="eastAsia" w:ascii="微软雅黑" w:hAnsi="微软雅黑" w:eastAsia="微软雅黑" w:cs="微软雅黑"/>
          <w:color w:val="auto"/>
          <w:highlight w:val="none"/>
        </w:rPr>
      </w:pPr>
      <w:bookmarkStart w:id="119" w:name="_Toc313008359"/>
      <w:bookmarkStart w:id="120" w:name="_Toc342913422"/>
      <w:bookmarkStart w:id="121" w:name="_Toc313888363"/>
      <w:bookmarkStart w:id="122" w:name="_Toc15402"/>
      <w:r>
        <w:rPr>
          <w:rFonts w:hint="eastAsia" w:ascii="微软雅黑" w:hAnsi="微软雅黑" w:eastAsia="微软雅黑" w:cs="微软雅黑"/>
          <w:color w:val="auto"/>
          <w:sz w:val="24"/>
          <w:szCs w:val="24"/>
          <w:highlight w:val="none"/>
        </w:rPr>
        <w:t>四、资格条件及其他</w:t>
      </w:r>
      <w:bookmarkEnd w:id="119"/>
      <w:bookmarkEnd w:id="120"/>
      <w:bookmarkEnd w:id="121"/>
      <w:bookmarkEnd w:id="122"/>
    </w:p>
    <w:p>
      <w:pPr>
        <w:widowControl/>
        <w:ind w:firstLine="560" w:firstLineChars="200"/>
        <w:rPr>
          <w:rFonts w:hint="eastAsia" w:ascii="微软雅黑" w:hAnsi="微软雅黑" w:eastAsia="微软雅黑" w:cs="微软雅黑"/>
          <w:color w:val="auto"/>
          <w:szCs w:val="28"/>
          <w:highlight w:val="none"/>
        </w:rPr>
      </w:pPr>
      <w:r>
        <w:rPr>
          <w:rFonts w:hint="eastAsia" w:ascii="微软雅黑" w:hAnsi="微软雅黑" w:eastAsia="微软雅黑" w:cs="微软雅黑"/>
          <w:color w:val="auto"/>
          <w:szCs w:val="28"/>
          <w:highlight w:val="none"/>
        </w:rPr>
        <w:t>（一）一般资格条件</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1、法人营业执照（副本）复印件</w:t>
      </w:r>
      <w:r>
        <w:rPr>
          <w:rFonts w:hint="eastAsia" w:ascii="微软雅黑" w:hAnsi="微软雅黑" w:eastAsia="微软雅黑" w:cs="微软雅黑"/>
          <w:color w:val="auto"/>
          <w:kern w:val="0"/>
          <w:sz w:val="24"/>
          <w:szCs w:val="24"/>
          <w:highlight w:val="none"/>
        </w:rPr>
        <w:t>。</w:t>
      </w:r>
    </w:p>
    <w:p>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注：分支机构参与投标的，应提供授权委托。</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highlight w:val="none"/>
        </w:rPr>
      </w:pPr>
    </w:p>
    <w:p>
      <w:pPr>
        <w:widowControl/>
        <w:rPr>
          <w:rFonts w:hint="eastAsia" w:ascii="微软雅黑" w:hAnsi="微软雅黑" w:eastAsia="微软雅黑" w:cs="微软雅黑"/>
          <w:color w:val="auto"/>
          <w:highlight w:val="none"/>
        </w:rPr>
      </w:pPr>
    </w:p>
    <w:p>
      <w:pPr>
        <w:widowControl/>
        <w:ind w:firstLine="560" w:firstLineChars="20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Cs w:val="28"/>
          <w:highlight w:val="none"/>
        </w:rPr>
        <w:br w:type="page"/>
      </w:r>
      <w:r>
        <w:rPr>
          <w:rFonts w:hint="eastAsia" w:ascii="微软雅黑" w:hAnsi="微软雅黑" w:eastAsia="微软雅黑" w:cs="微软雅黑"/>
          <w:color w:val="auto"/>
          <w:szCs w:val="28"/>
          <w:highlight w:val="none"/>
        </w:rPr>
        <w:t>2、法定代表人身份证明书（格式）</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项目名称：</w:t>
      </w:r>
      <w:r>
        <w:rPr>
          <w:rFonts w:hint="eastAsia" w:ascii="微软雅黑" w:hAnsi="微软雅黑" w:eastAsia="微软雅黑" w:cs="微软雅黑"/>
          <w:color w:val="auto"/>
          <w:sz w:val="24"/>
          <w:szCs w:val="24"/>
          <w:highlight w:val="none"/>
          <w:u w:val="single"/>
        </w:rPr>
        <w:t xml:space="preserve">                                                </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致：</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（采购人名称）：</w:t>
      </w:r>
    </w:p>
    <w:p>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（法定代表人（或负责人）姓名）在</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（代理机构名称）任</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（职务名称）职务，是（代理机构名称）</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的法定代表人（或负责人）。</w:t>
      </w:r>
    </w:p>
    <w:p>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特此证明。</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（代理机构公章）</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年   月   日</w:t>
      </w:r>
    </w:p>
    <w:p>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（附：法定代表人（或负责人）身份证正反面复印件）</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jc w:val="center"/>
        <w:rPr>
          <w:rFonts w:hint="eastAsia" w:ascii="宋体" w:hAnsi="宋体"/>
          <w:color w:val="auto"/>
          <w:highlight w:val="none"/>
        </w:rPr>
      </w:pPr>
      <w:r>
        <w:rPr>
          <w:rFonts w:hint="eastAsia" w:ascii="微软雅黑" w:hAnsi="微软雅黑" w:eastAsia="微软雅黑" w:cs="微软雅黑"/>
          <w:color w:val="auto"/>
          <w:highlight w:val="none"/>
        </w:rPr>
        <w:br w:type="column"/>
      </w:r>
      <w:r>
        <w:rPr>
          <w:rFonts w:hint="eastAsia" w:ascii="微软雅黑" w:hAnsi="微软雅黑" w:eastAsia="微软雅黑" w:cs="微软雅黑"/>
          <w:color w:val="auto"/>
          <w:highlight w:val="none"/>
        </w:rPr>
        <w:t>3、法定代表人授权委托书（格式）</w:t>
      </w:r>
    </w:p>
    <w:p>
      <w:pPr>
        <w:tabs>
          <w:tab w:val="left" w:pos="6300"/>
        </w:tabs>
        <w:snapToGrid w:val="0"/>
        <w:spacing w:line="500" w:lineRule="exact"/>
        <w:ind w:firstLine="570"/>
        <w:rPr>
          <w:rFonts w:hint="eastAsia" w:ascii="宋体" w:hAnsi="宋体"/>
          <w:color w:val="auto"/>
          <w:sz w:val="24"/>
          <w:highlight w:val="none"/>
        </w:rPr>
      </w:pPr>
      <w:r>
        <w:rPr>
          <w:rFonts w:hint="eastAsia" w:ascii="宋体" w:hAnsi="宋体"/>
          <w:color w:val="auto"/>
          <w:sz w:val="24"/>
          <w:highlight w:val="none"/>
        </w:rPr>
        <w:t xml:space="preserve">    </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szCs w:val="28"/>
          <w:highlight w:val="none"/>
        </w:rPr>
        <w:t>项目名称</w:t>
      </w:r>
      <w:r>
        <w:rPr>
          <w:rFonts w:hint="eastAsia" w:ascii="微软雅黑" w:hAnsi="微软雅黑" w:eastAsia="微软雅黑" w:cs="微软雅黑"/>
          <w:color w:val="auto"/>
          <w:sz w:val="24"/>
          <w:highlight w:val="none"/>
        </w:rPr>
        <w:t>：</w:t>
      </w:r>
      <w:r>
        <w:rPr>
          <w:rFonts w:hint="eastAsia" w:ascii="微软雅黑" w:hAnsi="微软雅黑" w:eastAsia="微软雅黑" w:cs="微软雅黑"/>
          <w:color w:val="auto"/>
          <w:sz w:val="24"/>
          <w:highlight w:val="none"/>
          <w:u w:val="single"/>
        </w:rPr>
        <w:t xml:space="preserve">                                                </w:t>
      </w: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致：</w:t>
      </w:r>
      <w:r>
        <w:rPr>
          <w:rFonts w:hint="eastAsia" w:ascii="微软雅黑" w:hAnsi="微软雅黑" w:eastAsia="微软雅黑" w:cs="微软雅黑"/>
          <w:color w:val="auto"/>
          <w:sz w:val="24"/>
          <w:highlight w:val="none"/>
          <w:u w:val="single"/>
        </w:rPr>
        <w:t xml:space="preserve">                     </w:t>
      </w:r>
      <w:r>
        <w:rPr>
          <w:rFonts w:hint="eastAsia" w:ascii="微软雅黑" w:hAnsi="微软雅黑" w:eastAsia="微软雅黑" w:cs="微软雅黑"/>
          <w:color w:val="auto"/>
          <w:sz w:val="24"/>
          <w:highlight w:val="none"/>
        </w:rPr>
        <w:t>（采购人名称）：</w:t>
      </w:r>
    </w:p>
    <w:p>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_________（代理机构法定代表人（或负责人）姓名）特授权_________（被授权人姓名及身份证代码）代表我单位全权办理对上述项目的谈判、签约等具体工作，并签署全部有关的文件、协议及合同。</w:t>
      </w:r>
    </w:p>
    <w:p>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我单位对被授权人的签字负全部责任。</w:t>
      </w:r>
    </w:p>
    <w:p>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在撤消授权的书面通知以前，本授权书一直有效。被授权人签署的所有文件（在授权书有效期内签署的）不因授权的撤消而失效。</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w:t>
      </w: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被授权人：                                 代理机构法定代表人</w:t>
      </w:r>
      <w:r>
        <w:rPr>
          <w:rFonts w:hint="eastAsia" w:ascii="微软雅黑" w:hAnsi="微软雅黑" w:eastAsia="微软雅黑" w:cs="微软雅黑"/>
          <w:color w:val="auto"/>
          <w:sz w:val="24"/>
          <w:szCs w:val="24"/>
          <w:highlight w:val="none"/>
        </w:rPr>
        <w:t>（或负责人）</w:t>
      </w:r>
      <w:r>
        <w:rPr>
          <w:rFonts w:hint="eastAsia" w:ascii="微软雅黑" w:hAnsi="微软雅黑" w:eastAsia="微软雅黑" w:cs="微软雅黑"/>
          <w:color w:val="auto"/>
          <w:sz w:val="24"/>
          <w:highlight w:val="none"/>
        </w:rPr>
        <w:t>：</w:t>
      </w:r>
    </w:p>
    <w:p>
      <w:pPr>
        <w:tabs>
          <w:tab w:val="left" w:pos="6300"/>
        </w:tabs>
        <w:snapToGrid w:val="0"/>
        <w:spacing w:line="500" w:lineRule="exact"/>
        <w:ind w:firstLine="570"/>
        <w:rPr>
          <w:rFonts w:hint="eastAsia"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（签署或盖章）                                （签署或盖章）</w:t>
      </w:r>
    </w:p>
    <w:p>
      <w:pPr>
        <w:tabs>
          <w:tab w:val="left" w:pos="6300"/>
        </w:tabs>
        <w:snapToGrid w:val="0"/>
        <w:spacing w:line="500" w:lineRule="exact"/>
        <w:ind w:firstLine="570"/>
        <w:rPr>
          <w:rFonts w:hint="eastAsia" w:ascii="微软雅黑" w:hAnsi="微软雅黑" w:eastAsia="微软雅黑" w:cs="微软雅黑"/>
          <w:color w:val="auto"/>
          <w:sz w:val="24"/>
          <w:szCs w:val="28"/>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p>
    <w:p>
      <w:pPr>
        <w:tabs>
          <w:tab w:val="left" w:pos="6300"/>
        </w:tabs>
        <w:snapToGrid w:val="0"/>
        <w:spacing w:line="500" w:lineRule="exact"/>
        <w:ind w:firstLine="57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（附：被授权人身份证正反面复印件）</w:t>
      </w:r>
    </w:p>
    <w:p>
      <w:pPr>
        <w:tabs>
          <w:tab w:val="left" w:pos="6300"/>
        </w:tabs>
        <w:snapToGrid w:val="0"/>
        <w:spacing w:line="500" w:lineRule="exact"/>
        <w:ind w:right="480" w:firstLine="570"/>
        <w:jc w:val="righ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 xml:space="preserve">    （代理机构公章）</w:t>
      </w:r>
    </w:p>
    <w:p>
      <w:pPr>
        <w:tabs>
          <w:tab w:val="left" w:pos="6300"/>
        </w:tabs>
        <w:snapToGrid w:val="0"/>
        <w:spacing w:line="500" w:lineRule="exact"/>
        <w:ind w:right="480" w:firstLine="570"/>
        <w:jc w:val="righ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年   月   日</w:t>
      </w:r>
    </w:p>
    <w:p>
      <w:pPr>
        <w:tabs>
          <w:tab w:val="left" w:pos="6300"/>
        </w:tabs>
        <w:snapToGrid w:val="0"/>
        <w:spacing w:line="500" w:lineRule="exact"/>
        <w:ind w:right="480" w:firstLine="570"/>
        <w:jc w:val="left"/>
        <w:rPr>
          <w:rFonts w:hint="eastAsia" w:ascii="微软雅黑" w:hAnsi="微软雅黑" w:eastAsia="微软雅黑" w:cs="微软雅黑"/>
          <w:color w:val="auto"/>
          <w:sz w:val="24"/>
          <w:highlight w:val="none"/>
        </w:rPr>
      </w:pPr>
    </w:p>
    <w:p>
      <w:pPr>
        <w:tabs>
          <w:tab w:val="left" w:pos="6300"/>
        </w:tabs>
        <w:snapToGrid w:val="0"/>
        <w:spacing w:line="500" w:lineRule="exact"/>
        <w:ind w:right="480" w:firstLine="570"/>
        <w:jc w:val="lef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注：</w:t>
      </w:r>
    </w:p>
    <w:p>
      <w:pPr>
        <w:tabs>
          <w:tab w:val="left" w:pos="6300"/>
        </w:tabs>
        <w:snapToGrid w:val="0"/>
        <w:spacing w:line="500" w:lineRule="exact"/>
        <w:ind w:right="480"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1.若为法定代表人</w:t>
      </w:r>
      <w:r>
        <w:rPr>
          <w:rFonts w:hint="eastAsia" w:ascii="微软雅黑" w:hAnsi="微软雅黑" w:eastAsia="微软雅黑" w:cs="微软雅黑"/>
          <w:color w:val="auto"/>
          <w:sz w:val="24"/>
          <w:szCs w:val="24"/>
          <w:highlight w:val="none"/>
        </w:rPr>
        <w:t>或负责人</w:t>
      </w:r>
      <w:r>
        <w:rPr>
          <w:rFonts w:hint="eastAsia" w:ascii="微软雅黑" w:hAnsi="微软雅黑" w:eastAsia="微软雅黑" w:cs="微软雅黑"/>
          <w:color w:val="auto"/>
          <w:sz w:val="24"/>
          <w:highlight w:val="none"/>
        </w:rPr>
        <w:t>办理并签署比选响应文件的，不提供此文件。</w:t>
      </w:r>
    </w:p>
    <w:p>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pPr>
        <w:tabs>
          <w:tab w:val="left" w:pos="6300"/>
        </w:tabs>
        <w:snapToGrid w:val="0"/>
        <w:spacing w:line="500" w:lineRule="exact"/>
        <w:ind w:firstLine="570"/>
        <w:jc w:val="center"/>
        <w:rPr>
          <w:rFonts w:hint="eastAsia" w:ascii="宋体" w:hAnsi="宋体"/>
          <w:color w:val="auto"/>
          <w:highlight w:val="none"/>
        </w:rPr>
      </w:pPr>
      <w:r>
        <w:rPr>
          <w:rFonts w:hint="eastAsia" w:ascii="微软雅黑" w:hAnsi="微软雅黑" w:eastAsia="微软雅黑" w:cs="微软雅黑"/>
          <w:color w:val="auto"/>
          <w:highlight w:val="none"/>
          <w:lang w:val="en-US" w:eastAsia="zh-CN"/>
        </w:rPr>
        <w:t>4</w:t>
      </w: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highlight w:val="none"/>
          <w:lang w:val="en-US" w:eastAsia="zh-CN"/>
        </w:rPr>
        <w:t>社保证明</w:t>
      </w:r>
    </w:p>
    <w:p>
      <w:pPr>
        <w:rPr>
          <w:rFonts w:hint="eastAsia"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lang w:val="en-US" w:eastAsia="zh-CN"/>
        </w:rPr>
        <w:br w:type="page"/>
      </w:r>
    </w:p>
    <w:p>
      <w:pPr>
        <w:tabs>
          <w:tab w:val="left" w:pos="6300"/>
        </w:tabs>
        <w:snapToGrid w:val="0"/>
        <w:spacing w:line="500" w:lineRule="exact"/>
        <w:ind w:firstLine="560" w:firstLineChars="20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highlight w:val="none"/>
          <w:lang w:val="en-US" w:eastAsia="zh-CN"/>
        </w:rPr>
        <w:t>5</w:t>
      </w:r>
      <w:r>
        <w:rPr>
          <w:rFonts w:hint="eastAsia" w:ascii="微软雅黑" w:hAnsi="微软雅黑" w:eastAsia="微软雅黑" w:cs="微软雅黑"/>
          <w:color w:val="auto"/>
          <w:highlight w:val="none"/>
        </w:rPr>
        <w:t>、基本资格条件承诺函</w:t>
      </w:r>
    </w:p>
    <w:p>
      <w:pPr>
        <w:tabs>
          <w:tab w:val="left" w:pos="6300"/>
        </w:tabs>
        <w:snapToGrid w:val="0"/>
        <w:ind w:firstLine="480" w:firstLineChars="200"/>
        <w:rPr>
          <w:rFonts w:hint="eastAsia" w:ascii="微软雅黑" w:hAnsi="微软雅黑" w:eastAsia="微软雅黑" w:cs="微软雅黑"/>
          <w:color w:val="auto"/>
          <w:sz w:val="24"/>
          <w:szCs w:val="24"/>
          <w:highlight w:val="none"/>
        </w:rPr>
      </w:pPr>
    </w:p>
    <w:p>
      <w:pPr>
        <w:tabs>
          <w:tab w:val="left" w:pos="6300"/>
        </w:tabs>
        <w:snapToGrid w:val="0"/>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比选项目名称：</w:t>
      </w:r>
      <w:r>
        <w:rPr>
          <w:rFonts w:hint="eastAsia" w:ascii="微软雅黑" w:hAnsi="微软雅黑" w:eastAsia="微软雅黑" w:cs="微软雅黑"/>
          <w:color w:val="auto"/>
          <w:sz w:val="24"/>
          <w:szCs w:val="24"/>
          <w:highlight w:val="none"/>
          <w:u w:val="single"/>
        </w:rPr>
        <w:t xml:space="preserve">                                                </w:t>
      </w:r>
    </w:p>
    <w:p>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pPr>
        <w:tabs>
          <w:tab w:val="left" w:pos="6300"/>
        </w:tabs>
        <w:snapToGrid w:val="0"/>
        <w:spacing w:line="5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致：</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（采购人名称）：</w:t>
      </w:r>
    </w:p>
    <w:p>
      <w:pPr>
        <w:tabs>
          <w:tab w:val="left" w:pos="6300"/>
        </w:tabs>
        <w:snapToGrid w:val="0"/>
        <w:spacing w:line="5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（代理机构名称）郑重承诺：</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1.我方具有良好的商业信誉和健全的财务会计制度，具有履行合同所必需的设备和专业技术能力，具</w:t>
      </w:r>
      <w:r>
        <w:rPr>
          <w:rFonts w:hint="eastAsia" w:ascii="微软雅黑" w:hAnsi="微软雅黑" w:eastAsia="微软雅黑" w:cs="微软雅黑"/>
          <w:color w:val="auto"/>
          <w:sz w:val="24"/>
          <w:highlight w:val="none"/>
          <w:lang w:val="zh-CN"/>
        </w:rPr>
        <w:t>有依法缴纳税收和社会保障金的良好记录</w:t>
      </w:r>
      <w:r>
        <w:rPr>
          <w:rFonts w:hint="eastAsia" w:ascii="微软雅黑" w:hAnsi="微软雅黑" w:eastAsia="微软雅黑" w:cs="微软雅黑"/>
          <w:color w:val="auto"/>
          <w:sz w:val="24"/>
          <w:highlight w:val="none"/>
        </w:rPr>
        <w:t>，参加本项目采购活动前三年内无重大违法活动记录。</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2.我方未列入在信用中国网站（www.creditchina.gov.cn）“失信被执行人”、“重大税收违法案件当事人名单”中，也未列入中国政府采购网（www.ccgp.gov.cn）“政府采购严重违法失信行为记录名单”中。</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3.我方在采购项目评审（评标）环节结束后，随时接受采购人的检查验证，配合提供相关证明材料，证明符合《中华人民共和国政府采购法》规定的投标人基本资格条件。</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我方对以上承诺负全部法律责任。</w:t>
      </w:r>
    </w:p>
    <w:p>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特此承诺。</w:t>
      </w:r>
    </w:p>
    <w:p>
      <w:pPr>
        <w:tabs>
          <w:tab w:val="left" w:pos="6300"/>
        </w:tabs>
        <w:snapToGrid w:val="0"/>
        <w:ind w:firstLine="480" w:firstLineChars="200"/>
        <w:rPr>
          <w:rFonts w:hint="eastAsia" w:ascii="微软雅黑" w:hAnsi="微软雅黑" w:eastAsia="微软雅黑" w:cs="微软雅黑"/>
          <w:color w:val="auto"/>
          <w:sz w:val="24"/>
          <w:szCs w:val="24"/>
          <w:highlight w:val="none"/>
        </w:rPr>
      </w:pPr>
    </w:p>
    <w:p>
      <w:pPr>
        <w:tabs>
          <w:tab w:val="left" w:pos="6300"/>
        </w:tabs>
        <w:snapToGrid w:val="0"/>
        <w:ind w:firstLine="570"/>
        <w:rPr>
          <w:rFonts w:hint="eastAsia" w:ascii="微软雅黑" w:hAnsi="微软雅黑" w:eastAsia="微软雅黑" w:cs="微软雅黑"/>
          <w:color w:val="auto"/>
          <w:sz w:val="32"/>
          <w:szCs w:val="22"/>
          <w:highlight w:val="none"/>
        </w:rPr>
      </w:pPr>
    </w:p>
    <w:p>
      <w:pPr>
        <w:tabs>
          <w:tab w:val="left" w:pos="6300"/>
        </w:tabs>
        <w:snapToGrid w:val="0"/>
        <w:ind w:firstLine="570"/>
        <w:rPr>
          <w:rFonts w:hint="eastAsia" w:ascii="微软雅黑" w:hAnsi="微软雅黑" w:eastAsia="微软雅黑" w:cs="微软雅黑"/>
          <w:color w:val="auto"/>
          <w:sz w:val="32"/>
          <w:szCs w:val="22"/>
          <w:highlight w:val="none"/>
        </w:rPr>
      </w:pPr>
    </w:p>
    <w:p>
      <w:pPr>
        <w:tabs>
          <w:tab w:val="left" w:pos="6300"/>
        </w:tabs>
        <w:snapToGrid w:val="0"/>
        <w:ind w:firstLine="570"/>
        <w:rPr>
          <w:rFonts w:hint="eastAsia" w:ascii="微软雅黑" w:hAnsi="微软雅黑" w:eastAsia="微软雅黑" w:cs="微软雅黑"/>
          <w:color w:val="auto"/>
          <w:sz w:val="32"/>
          <w:szCs w:val="22"/>
          <w:highlight w:val="none"/>
        </w:rPr>
      </w:pPr>
    </w:p>
    <w:p>
      <w:pPr>
        <w:tabs>
          <w:tab w:val="left" w:pos="6300"/>
        </w:tabs>
        <w:snapToGrid w:val="0"/>
        <w:ind w:firstLine="570"/>
        <w:rPr>
          <w:rFonts w:hint="eastAsia" w:ascii="微软雅黑" w:hAnsi="微软雅黑" w:eastAsia="微软雅黑" w:cs="微软雅黑"/>
          <w:color w:val="auto"/>
          <w:sz w:val="32"/>
          <w:szCs w:val="22"/>
          <w:highlight w:val="none"/>
        </w:rPr>
      </w:pPr>
    </w:p>
    <w:p>
      <w:pPr>
        <w:tabs>
          <w:tab w:val="left" w:pos="6300"/>
        </w:tabs>
        <w:snapToGrid w:val="0"/>
        <w:ind w:right="480" w:firstLine="57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（代理机构公章）</w:t>
      </w:r>
    </w:p>
    <w:p>
      <w:pPr>
        <w:tabs>
          <w:tab w:val="left" w:pos="6300"/>
        </w:tabs>
        <w:snapToGrid w:val="0"/>
        <w:spacing w:line="500" w:lineRule="exact"/>
        <w:ind w:right="480" w:firstLine="6480" w:firstLineChars="2700"/>
        <w:rPr>
          <w:rFonts w:hint="eastAsia" w:ascii="微软雅黑" w:hAnsi="微软雅黑" w:eastAsia="微软雅黑" w:cs="微软雅黑"/>
          <w:color w:val="auto"/>
          <w:highlight w:val="none"/>
        </w:rPr>
      </w:pPr>
      <w:r>
        <w:rPr>
          <w:rFonts w:hint="eastAsia" w:ascii="微软雅黑" w:hAnsi="微软雅黑" w:eastAsia="微软雅黑" w:cs="微软雅黑"/>
          <w:color w:val="auto"/>
          <w:sz w:val="24"/>
          <w:szCs w:val="24"/>
          <w:highlight w:val="none"/>
        </w:rPr>
        <w:t>年   月   日</w:t>
      </w:r>
    </w:p>
    <w:p>
      <w:pPr>
        <w:rPr>
          <w:rFonts w:hint="eastAsia" w:ascii="微软雅黑" w:hAnsi="微软雅黑" w:eastAsia="微软雅黑" w:cs="微软雅黑"/>
          <w:color w:val="auto"/>
          <w:highlight w:val="none"/>
        </w:rPr>
      </w:pPr>
    </w:p>
    <w:p>
      <w:pPr>
        <w:tabs>
          <w:tab w:val="left" w:pos="6300"/>
        </w:tabs>
        <w:snapToGrid w:val="0"/>
        <w:spacing w:line="50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highlight w:val="none"/>
        </w:rPr>
        <w:br w:type="page"/>
      </w:r>
      <w:r>
        <w:rPr>
          <w:rFonts w:hint="eastAsia" w:ascii="微软雅黑" w:hAnsi="微软雅黑" w:eastAsia="微软雅黑" w:cs="微软雅黑"/>
          <w:color w:val="auto"/>
          <w:sz w:val="24"/>
          <w:szCs w:val="24"/>
          <w:highlight w:val="none"/>
        </w:rPr>
        <w:t>（二）特定资格条件</w:t>
      </w:r>
    </w:p>
    <w:p>
      <w:pPr>
        <w:tabs>
          <w:tab w:val="left" w:pos="6300"/>
        </w:tabs>
        <w:snapToGrid w:val="0"/>
        <w:spacing w:line="500" w:lineRule="exact"/>
        <w:outlineLvl w:val="0"/>
        <w:rPr>
          <w:rFonts w:hint="eastAsia" w:ascii="微软雅黑" w:hAnsi="微软雅黑" w:eastAsia="微软雅黑" w:cs="微软雅黑"/>
          <w:color w:val="auto"/>
          <w:sz w:val="24"/>
          <w:szCs w:val="24"/>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pPr>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（三）评审因素需提供的资料（自附）</w:t>
      </w: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（四）其他应提供的资料（自附） </w:t>
      </w:r>
    </w:p>
    <w:p>
      <w:pPr>
        <w:spacing w:line="48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 xml:space="preserve">  </w:t>
      </w:r>
    </w:p>
    <w:p>
      <w:pPr>
        <w:spacing w:line="480" w:lineRule="exact"/>
        <w:rPr>
          <w:rFonts w:hint="eastAsia" w:ascii="微软雅黑" w:hAnsi="微软雅黑" w:eastAsia="微软雅黑" w:cs="微软雅黑"/>
          <w:color w:val="auto"/>
          <w:sz w:val="24"/>
          <w:szCs w:val="24"/>
          <w:highlight w:val="none"/>
        </w:rPr>
      </w:pPr>
      <w:bookmarkStart w:id="123" w:name="_Toc531873561"/>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p>
    <w:p>
      <w:pPr>
        <w:pStyle w:val="4"/>
        <w:rPr>
          <w:color w:val="auto"/>
          <w:highlight w:val="none"/>
        </w:rPr>
      </w:pPr>
    </w:p>
    <w:p>
      <w:pPr>
        <w:spacing w:line="480" w:lineRule="exact"/>
        <w:rPr>
          <w:rFonts w:hint="eastAsia" w:ascii="微软雅黑" w:hAnsi="微软雅黑" w:eastAsia="微软雅黑" w:cs="微软雅黑"/>
          <w:color w:val="auto"/>
          <w:sz w:val="24"/>
          <w:szCs w:val="24"/>
          <w:highlight w:val="none"/>
        </w:rPr>
      </w:pPr>
    </w:p>
    <w:p>
      <w:pPr>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 代理机构基本情况表</w:t>
      </w:r>
      <w:bookmarkEnd w:id="123"/>
    </w:p>
    <w:p>
      <w:pPr>
        <w:autoSpaceDE w:val="0"/>
        <w:autoSpaceDN w:val="0"/>
        <w:adjustRightInd w:val="0"/>
        <w:spacing w:line="400" w:lineRule="exact"/>
        <w:rPr>
          <w:rFonts w:hint="eastAsia" w:ascii="微软雅黑" w:hAnsi="微软雅黑" w:eastAsia="微软雅黑" w:cs="微软雅黑"/>
          <w:b/>
          <w:bCs/>
          <w:color w:val="auto"/>
          <w:szCs w:val="18"/>
          <w:highlight w:val="none"/>
          <w:lang w:val="zh-CN"/>
        </w:rPr>
      </w:pPr>
    </w:p>
    <w:tbl>
      <w:tblPr>
        <w:tblStyle w:val="14"/>
        <w:tblW w:w="8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1134"/>
        <w:gridCol w:w="2052"/>
        <w:gridCol w:w="1204"/>
        <w:gridCol w:w="2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代理机构名称</w:t>
            </w:r>
          </w:p>
        </w:tc>
        <w:tc>
          <w:tcPr>
            <w:tcW w:w="6697" w:type="dxa"/>
            <w:gridSpan w:val="4"/>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注册地址</w:t>
            </w:r>
          </w:p>
        </w:tc>
        <w:tc>
          <w:tcPr>
            <w:tcW w:w="3186" w:type="dxa"/>
            <w:gridSpan w:val="2"/>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邮政编码</w:t>
            </w:r>
          </w:p>
        </w:tc>
        <w:tc>
          <w:tcPr>
            <w:tcW w:w="2307"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Merge w:val="restart"/>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联系方式</w:t>
            </w:r>
          </w:p>
        </w:tc>
        <w:tc>
          <w:tcPr>
            <w:tcW w:w="113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联系人</w:t>
            </w:r>
          </w:p>
        </w:tc>
        <w:tc>
          <w:tcPr>
            <w:tcW w:w="2052"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电话</w:t>
            </w:r>
          </w:p>
        </w:tc>
        <w:tc>
          <w:tcPr>
            <w:tcW w:w="2307"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Merge w:val="continue"/>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13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传真</w:t>
            </w:r>
          </w:p>
        </w:tc>
        <w:tc>
          <w:tcPr>
            <w:tcW w:w="2052"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网址</w:t>
            </w:r>
          </w:p>
        </w:tc>
        <w:tc>
          <w:tcPr>
            <w:tcW w:w="2307"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rPr>
            </w:pPr>
            <w:r>
              <w:rPr>
                <w:rFonts w:hint="eastAsia" w:ascii="微软雅黑" w:hAnsi="微软雅黑" w:eastAsia="微软雅黑" w:cs="微软雅黑"/>
                <w:bCs/>
                <w:color w:val="auto"/>
                <w:sz w:val="24"/>
                <w:highlight w:val="none"/>
                <w:lang w:val="zh-CN"/>
              </w:rPr>
              <w:t>法定代表人</w:t>
            </w:r>
            <w:r>
              <w:rPr>
                <w:rFonts w:hint="eastAsia" w:ascii="微软雅黑" w:hAnsi="微软雅黑" w:eastAsia="微软雅黑" w:cs="微软雅黑"/>
                <w:bCs/>
                <w:color w:val="auto"/>
                <w:sz w:val="24"/>
                <w:highlight w:val="none"/>
              </w:rPr>
              <w:t>或负责人</w:t>
            </w:r>
          </w:p>
        </w:tc>
        <w:tc>
          <w:tcPr>
            <w:tcW w:w="1134"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姓名</w:t>
            </w:r>
          </w:p>
        </w:tc>
        <w:tc>
          <w:tcPr>
            <w:tcW w:w="2052"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pPr>
              <w:autoSpaceDE w:val="0"/>
              <w:autoSpaceDN w:val="0"/>
              <w:adjustRightInd w:val="0"/>
              <w:spacing w:line="400" w:lineRule="exact"/>
              <w:ind w:firstLine="240" w:firstLineChars="100"/>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电话</w:t>
            </w:r>
          </w:p>
        </w:tc>
        <w:tc>
          <w:tcPr>
            <w:tcW w:w="2307" w:type="dxa"/>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成立时间</w:t>
            </w:r>
          </w:p>
        </w:tc>
        <w:tc>
          <w:tcPr>
            <w:tcW w:w="6697" w:type="dxa"/>
            <w:gridSpan w:val="4"/>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资质等级（若有）</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营业执照号</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注册资金</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开户银行</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账   号</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经营范围</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2263" w:type="dxa"/>
            <w:vAlign w:val="center"/>
          </w:tcPr>
          <w:p>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备    注</w:t>
            </w:r>
          </w:p>
        </w:tc>
        <w:tc>
          <w:tcPr>
            <w:tcW w:w="6697" w:type="dxa"/>
            <w:gridSpan w:val="4"/>
            <w:vAlign w:val="center"/>
          </w:tcPr>
          <w:p>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bl>
    <w:p>
      <w:pPr>
        <w:pStyle w:val="20"/>
        <w:tabs>
          <w:tab w:val="left" w:pos="3023"/>
        </w:tabs>
        <w:jc w:val="both"/>
        <w:rPr>
          <w:rFonts w:hint="eastAsia" w:ascii="宋体" w:hAnsi="宋体" w:eastAsia="宋体" w:cs="宋体"/>
          <w:color w:val="auto"/>
          <w:sz w:val="36"/>
          <w:szCs w:val="36"/>
          <w:highlight w:val="none"/>
        </w:rPr>
      </w:pPr>
      <w:bookmarkStart w:id="124" w:name="_Toc8480"/>
      <w:bookmarkStart w:id="125" w:name="_Toc28902"/>
      <w:bookmarkStart w:id="126" w:name="_Toc25408"/>
      <w:bookmarkStart w:id="127" w:name="_Toc481430160"/>
    </w:p>
    <w:p>
      <w:pPr>
        <w:pStyle w:val="20"/>
        <w:tabs>
          <w:tab w:val="left" w:pos="3023"/>
        </w:tabs>
        <w:jc w:val="both"/>
        <w:rPr>
          <w:rFonts w:hint="eastAsia" w:ascii="宋体" w:hAnsi="宋体" w:eastAsia="宋体" w:cs="宋体"/>
          <w:color w:val="auto"/>
          <w:sz w:val="36"/>
          <w:szCs w:val="36"/>
          <w:highlight w:val="none"/>
        </w:rPr>
      </w:pPr>
    </w:p>
    <w:p>
      <w:pPr>
        <w:pStyle w:val="20"/>
        <w:tabs>
          <w:tab w:val="left" w:pos="3023"/>
        </w:tabs>
        <w:jc w:val="both"/>
        <w:rPr>
          <w:rFonts w:hint="eastAsia" w:ascii="宋体" w:hAnsi="宋体" w:eastAsia="宋体" w:cs="宋体"/>
          <w:color w:val="auto"/>
          <w:sz w:val="36"/>
          <w:szCs w:val="36"/>
          <w:highlight w:val="none"/>
        </w:rPr>
      </w:pPr>
    </w:p>
    <w:p>
      <w:pPr>
        <w:pStyle w:val="20"/>
        <w:tabs>
          <w:tab w:val="left" w:pos="3023"/>
        </w:tabs>
        <w:jc w:val="both"/>
        <w:rPr>
          <w:rFonts w:hint="eastAsia" w:ascii="宋体" w:hAnsi="宋体" w:eastAsia="宋体" w:cs="宋体"/>
          <w:color w:val="auto"/>
          <w:sz w:val="36"/>
          <w:szCs w:val="36"/>
          <w:highlight w:val="none"/>
        </w:rPr>
      </w:pPr>
    </w:p>
    <w:p>
      <w:pPr>
        <w:pStyle w:val="20"/>
        <w:tabs>
          <w:tab w:val="left" w:pos="3023"/>
        </w:tabs>
        <w:jc w:val="both"/>
        <w:rPr>
          <w:rFonts w:hint="eastAsia" w:ascii="宋体" w:hAnsi="宋体" w:eastAsia="宋体" w:cs="宋体"/>
          <w:color w:val="auto"/>
          <w:sz w:val="36"/>
          <w:szCs w:val="36"/>
          <w:highlight w:val="none"/>
        </w:rPr>
      </w:pPr>
    </w:p>
    <w:p>
      <w:pPr>
        <w:pStyle w:val="20"/>
        <w:tabs>
          <w:tab w:val="left" w:pos="3023"/>
        </w:tabs>
        <w:jc w:val="both"/>
        <w:rPr>
          <w:rFonts w:hint="eastAsia" w:ascii="宋体" w:hAnsi="宋体" w:eastAsia="宋体" w:cs="宋体"/>
          <w:color w:val="auto"/>
          <w:sz w:val="36"/>
          <w:szCs w:val="36"/>
          <w:highlight w:val="none"/>
        </w:rPr>
      </w:pPr>
    </w:p>
    <w:bookmarkEnd w:id="124"/>
    <w:bookmarkEnd w:id="125"/>
    <w:bookmarkEnd w:id="126"/>
    <w:bookmarkEnd w:id="127"/>
    <w:p>
      <w:pPr>
        <w:spacing w:line="480" w:lineRule="exact"/>
        <w:rPr>
          <w:rFonts w:hint="eastAsia" w:ascii="微软雅黑" w:hAnsi="微软雅黑" w:eastAsia="微软雅黑" w:cs="微软雅黑"/>
          <w:color w:val="auto"/>
          <w:sz w:val="21"/>
          <w:szCs w:val="21"/>
          <w:highlight w:val="none"/>
        </w:rPr>
      </w:pPr>
    </w:p>
    <w:p>
      <w:pPr>
        <w:spacing w:line="480" w:lineRule="exact"/>
        <w:ind w:firstLine="420" w:firstLineChars="200"/>
        <w:jc w:val="center"/>
        <w:rPr>
          <w:rFonts w:hint="eastAsia" w:ascii="微软雅黑" w:hAnsi="微软雅黑" w:eastAsia="微软雅黑" w:cs="微软雅黑"/>
          <w:color w:val="auto"/>
          <w:sz w:val="21"/>
          <w:szCs w:val="21"/>
          <w:highlight w:val="none"/>
        </w:rPr>
      </w:pPr>
    </w:p>
    <w:p>
      <w:pPr>
        <w:spacing w:line="480" w:lineRule="exact"/>
        <w:ind w:firstLine="420" w:firstLineChars="200"/>
        <w:jc w:val="center"/>
        <w:rPr>
          <w:rFonts w:hint="eastAsia" w:ascii="微软雅黑" w:hAnsi="微软雅黑" w:eastAsia="微软雅黑" w:cs="微软雅黑"/>
          <w:color w:val="auto"/>
          <w:sz w:val="21"/>
          <w:szCs w:val="21"/>
          <w:highlight w:val="none"/>
        </w:rPr>
      </w:pPr>
    </w:p>
    <w:p>
      <w:pPr>
        <w:spacing w:line="480" w:lineRule="exact"/>
        <w:ind w:firstLine="480" w:firstLineChars="20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（结束）</w:t>
      </w:r>
    </w:p>
    <w:p>
      <w:pPr>
        <w:rPr>
          <w:rFonts w:hint="eastAsia"/>
          <w:color w:val="auto"/>
          <w:highlight w:val="none"/>
        </w:rPr>
      </w:pPr>
    </w:p>
    <w:sectPr>
      <w:headerReference r:id="rId12" w:type="default"/>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jc w:val="center"/>
      <w:rPr>
        <w:rStyle w:val="17"/>
        <w:rFonts w:ascii="宋体"/>
        <w:szCs w:val="18"/>
      </w:rPr>
    </w:pPr>
    <w:r>
      <w:rPr>
        <w:rFonts w:ascii="宋体"/>
        <w:szCs w:val="18"/>
      </w:rPr>
      <w:fldChar w:fldCharType="begin"/>
    </w:r>
    <w:r>
      <w:rPr>
        <w:rStyle w:val="17"/>
        <w:rFonts w:ascii="宋体"/>
        <w:szCs w:val="18"/>
      </w:rPr>
      <w:instrText xml:space="preserve">PAGE  </w:instrText>
    </w:r>
    <w:r>
      <w:rPr>
        <w:rFonts w:ascii="宋体"/>
        <w:szCs w:val="18"/>
      </w:rPr>
      <w:fldChar w:fldCharType="separate"/>
    </w:r>
    <w:r>
      <w:rPr>
        <w:rStyle w:val="17"/>
        <w:rFonts w:ascii="宋体"/>
        <w:szCs w:val="18"/>
      </w:rPr>
      <w:t>12</w:t>
    </w:r>
    <w:r>
      <w:rPr>
        <w:rFonts w:ascii="宋体"/>
        <w:szCs w:val="18"/>
      </w:rP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7"/>
      </w:rPr>
    </w:pPr>
    <w:r>
      <w:fldChar w:fldCharType="begin"/>
    </w:r>
    <w:r>
      <w:rPr>
        <w:rStyle w:val="17"/>
      </w:rPr>
      <w:instrText xml:space="preserve">PAGE  </w:instrTex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7"/>
      </w:rPr>
    </w:pPr>
  </w:p>
  <w:p>
    <w:pPr>
      <w:pStyle w:val="8"/>
      <w:jc w:val="center"/>
      <w:rPr>
        <w:rFonts w:hint="eastAsia"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hint="eastAsia" w:ascii="宋体" w:hAnsi="宋体"/>
        <w:szCs w:val="18"/>
      </w:rPr>
    </w:pPr>
    <w:r>
      <w:rPr>
        <w:rFonts w:ascii="宋体" w:hAnsi="宋体"/>
        <w:szCs w:val="18"/>
      </w:rPr>
      <w:fldChar w:fldCharType="begin"/>
    </w:r>
    <w:r>
      <w:rPr>
        <w:rStyle w:val="17"/>
        <w:rFonts w:ascii="宋体" w:hAnsi="宋体"/>
        <w:szCs w:val="18"/>
      </w:rPr>
      <w:instrText xml:space="preserve"> PAGE </w:instrText>
    </w:r>
    <w:r>
      <w:rPr>
        <w:rFonts w:ascii="宋体" w:hAnsi="宋体"/>
        <w:szCs w:val="18"/>
      </w:rPr>
      <w:fldChar w:fldCharType="separate"/>
    </w:r>
    <w:r>
      <w:rPr>
        <w:rStyle w:val="17"/>
        <w:rFonts w:ascii="宋体" w:hAnsi="宋体"/>
        <w:szCs w:val="18"/>
      </w:rPr>
      <w:t>- 13 -</w:t>
    </w:r>
    <w:r>
      <w:rPr>
        <w:rFonts w:ascii="宋体" w:hAnsi="宋体"/>
        <w:szCs w:val="1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jc w:val="both"/>
      <w:rPr>
        <w:rFonts w:hint="eastAsia" w:ascii="微软雅黑" w:hAnsi="微软雅黑" w:eastAsia="微软雅黑" w:cs="微软雅黑"/>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tabs>
        <w:tab w:val="right" w:pos="9540"/>
        <w:tab w:val="clear" w:pos="8306"/>
      </w:tabs>
      <w:ind w:right="-126" w:rightChars="-45"/>
      <w:jc w:val="left"/>
      <w:rPr>
        <w:rFonts w:ascii="方正仿宋_GBK" w:eastAsia="方正仿宋_GBK"/>
        <w:sz w:val="21"/>
        <w:szCs w:val="21"/>
      </w:rPr>
    </w:pPr>
    <w:r>
      <w:rPr>
        <w:rFonts w:hint="eastAsia" w:ascii="微软雅黑" w:hAnsi="微软雅黑" w:eastAsia="微软雅黑" w:cs="微软雅黑"/>
        <w:sz w:val="21"/>
        <w:szCs w:val="21"/>
      </w:rPr>
      <w:t xml:space="preserve">   </w:t>
    </w:r>
    <w:r>
      <w:rPr>
        <w:rFonts w:hint="eastAsia" w:ascii="方正仿宋_GBK" w:eastAsia="方正仿宋_GBK"/>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1A47EA"/>
    <w:multiLevelType w:val="singleLevel"/>
    <w:tmpl w:val="2C1A47EA"/>
    <w:lvl w:ilvl="0" w:tentative="0">
      <w:start w:val="5"/>
      <w:numFmt w:val="chineseCounting"/>
      <w:suff w:val="space"/>
      <w:lvlText w:val="第%1篇"/>
      <w:lvlJc w:val="left"/>
      <w:rPr>
        <w:rFonts w:hint="eastAsia"/>
      </w:rPr>
    </w:lvl>
  </w:abstractNum>
  <w:abstractNum w:abstractNumId="1">
    <w:nsid w:val="4174BBBA"/>
    <w:multiLevelType w:val="singleLevel"/>
    <w:tmpl w:val="4174BBBA"/>
    <w:lvl w:ilvl="0" w:tentative="0">
      <w:start w:val="2"/>
      <w:numFmt w:val="chineseCounting"/>
      <w:suff w:val="nothing"/>
      <w:lvlText w:val="（%1）"/>
      <w:lvlJc w:val="left"/>
      <w:rPr>
        <w:rFonts w:hint="eastAsia"/>
      </w:rPr>
    </w:lvl>
  </w:abstractNum>
  <w:abstractNum w:abstractNumId="2">
    <w:nsid w:val="6C80D529"/>
    <w:multiLevelType w:val="singleLevel"/>
    <w:tmpl w:val="6C80D529"/>
    <w:lvl w:ilvl="0" w:tentative="0">
      <w:start w:val="2"/>
      <w:numFmt w:val="chineseCounting"/>
      <w:suff w:val="space"/>
      <w:lvlText w:val="第%1篇"/>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15CB1165"/>
    <w:rsid w:val="000C21DC"/>
    <w:rsid w:val="00133FB5"/>
    <w:rsid w:val="001A1EE9"/>
    <w:rsid w:val="002973D8"/>
    <w:rsid w:val="00322C87"/>
    <w:rsid w:val="0035349D"/>
    <w:rsid w:val="003B4178"/>
    <w:rsid w:val="005551C1"/>
    <w:rsid w:val="00723243"/>
    <w:rsid w:val="007F3271"/>
    <w:rsid w:val="0080246C"/>
    <w:rsid w:val="008E70E5"/>
    <w:rsid w:val="00934B90"/>
    <w:rsid w:val="009652B4"/>
    <w:rsid w:val="00A122B6"/>
    <w:rsid w:val="00B12EF6"/>
    <w:rsid w:val="00BC56B2"/>
    <w:rsid w:val="00DA0580"/>
    <w:rsid w:val="00DC2653"/>
    <w:rsid w:val="00E55324"/>
    <w:rsid w:val="00EB1DCC"/>
    <w:rsid w:val="00ED2C81"/>
    <w:rsid w:val="00F7637B"/>
    <w:rsid w:val="0F8E03D1"/>
    <w:rsid w:val="104258B0"/>
    <w:rsid w:val="15CB1165"/>
    <w:rsid w:val="238057E2"/>
    <w:rsid w:val="2DCB4AA6"/>
    <w:rsid w:val="3F614CB4"/>
    <w:rsid w:val="465423CF"/>
    <w:rsid w:val="46CE6858"/>
    <w:rsid w:val="4AED5BDD"/>
    <w:rsid w:val="4AFA20FA"/>
    <w:rsid w:val="4C201CAE"/>
    <w:rsid w:val="4E6A62DD"/>
    <w:rsid w:val="4F0C73B2"/>
    <w:rsid w:val="65661CC5"/>
    <w:rsid w:val="65842EE1"/>
    <w:rsid w:val="686822B2"/>
    <w:rsid w:val="74F17E67"/>
    <w:rsid w:val="753F442A"/>
    <w:rsid w:val="7BD13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8"/>
      <w:lang w:val="en-US" w:eastAsia="zh-CN" w:bidi="ar-SA"/>
    </w:rPr>
  </w:style>
  <w:style w:type="paragraph" w:styleId="2">
    <w:name w:val="heading 2"/>
    <w:basedOn w:val="1"/>
    <w:next w:val="1"/>
    <w:qFormat/>
    <w:uiPriority w:val="0"/>
    <w:pPr>
      <w:keepNext/>
      <w:keepLines/>
      <w:spacing w:line="413" w:lineRule="auto"/>
      <w:outlineLvl w:val="1"/>
    </w:pPr>
    <w:rPr>
      <w:rFonts w:ascii="Arial" w:hAnsi="Arial" w:eastAsia="黑体"/>
      <w:b/>
      <w:sz w:val="32"/>
    </w:rPr>
  </w:style>
  <w:style w:type="paragraph" w:styleId="3">
    <w:name w:val="heading 3"/>
    <w:basedOn w:val="1"/>
    <w:next w:val="1"/>
    <w:qFormat/>
    <w:uiPriority w:val="0"/>
    <w:pPr>
      <w:keepNext/>
      <w:keepLines/>
      <w:spacing w:line="413" w:lineRule="auto"/>
      <w:outlineLvl w:val="2"/>
    </w:pPr>
    <w:rPr>
      <w:b/>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qFormat/>
    <w:uiPriority w:val="0"/>
    <w:rPr>
      <w:rFonts w:ascii="仿宋_GB2312" w:eastAsia="仿宋_GB2312"/>
      <w:sz w:val="32"/>
    </w:rPr>
  </w:style>
  <w:style w:type="paragraph" w:customStyle="1" w:styleId="5">
    <w:name w:val="Default"/>
    <w:next w:val="1"/>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styleId="6">
    <w:name w:val="toc 3"/>
    <w:basedOn w:val="1"/>
    <w:next w:val="1"/>
    <w:qFormat/>
    <w:uiPriority w:val="39"/>
    <w:pPr>
      <w:ind w:left="840" w:leftChars="400"/>
    </w:pPr>
  </w:style>
  <w:style w:type="paragraph" w:styleId="7">
    <w:name w:val="Plain Text"/>
    <w:basedOn w:val="1"/>
    <w:qFormat/>
    <w:uiPriority w:val="0"/>
    <w:rPr>
      <w:rFonts w:ascii="宋体" w:hAnsi="Courier New"/>
      <w:sz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toc 1"/>
    <w:basedOn w:val="1"/>
    <w:next w:val="1"/>
    <w:qFormat/>
    <w:uiPriority w:val="0"/>
    <w:pPr>
      <w:spacing w:line="180" w:lineRule="auto"/>
      <w:jc w:val="center"/>
    </w:pPr>
    <w:rPr>
      <w:sz w:val="30"/>
    </w:rPr>
  </w:style>
  <w:style w:type="paragraph" w:styleId="11">
    <w:name w:val="index 7"/>
    <w:basedOn w:val="1"/>
    <w:next w:val="1"/>
    <w:qFormat/>
    <w:uiPriority w:val="0"/>
    <w:pPr>
      <w:ind w:left="2520"/>
    </w:pPr>
  </w:style>
  <w:style w:type="paragraph" w:styleId="12">
    <w:name w:val="toc 2"/>
    <w:basedOn w:val="1"/>
    <w:next w:val="1"/>
    <w:qFormat/>
    <w:uiPriority w:val="39"/>
    <w:pPr>
      <w:ind w:left="420" w:leftChars="200"/>
    </w:pPr>
  </w:style>
  <w:style w:type="paragraph" w:styleId="13">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sz w:val="24"/>
      <w:szCs w:val="24"/>
    </w:rPr>
  </w:style>
  <w:style w:type="table" w:styleId="15">
    <w:name w:val="Table Grid"/>
    <w:basedOn w:val="14"/>
    <w:qFormat/>
    <w:uiPriority w:val="0"/>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paragraph" w:customStyle="1" w:styleId="18">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19">
    <w:name w:val="1"/>
    <w:basedOn w:val="1"/>
    <w:next w:val="7"/>
    <w:qFormat/>
    <w:uiPriority w:val="0"/>
    <w:rPr>
      <w:rFonts w:ascii="宋体" w:hAnsi="Courier New"/>
      <w:sz w:val="21"/>
    </w:rPr>
  </w:style>
  <w:style w:type="paragraph" w:customStyle="1" w:styleId="20">
    <w:name w:val="附件"/>
    <w:next w:val="1"/>
    <w:qFormat/>
    <w:uiPriority w:val="0"/>
    <w:pPr>
      <w:tabs>
        <w:tab w:val="right" w:leader="dot" w:pos="9402"/>
      </w:tabs>
      <w:spacing w:line="400" w:lineRule="exact"/>
      <w:jc w:val="center"/>
      <w:outlineLvl w:val="0"/>
    </w:pPr>
    <w:rPr>
      <w:rFonts w:ascii="Times New Roman" w:hAnsi="Times New Roman" w:eastAsia="方正黑体_GBK" w:cs="Times New Roman"/>
      <w:b/>
      <w:bCs/>
      <w:smallCaps/>
      <w:kern w:val="2"/>
      <w:sz w:val="28"/>
      <w:lang w:val="en-US" w:eastAsia="zh-CN" w:bidi="ar-SA"/>
    </w:rPr>
  </w:style>
  <w:style w:type="table" w:customStyle="1" w:styleId="21">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36</Pages>
  <Words>16573</Words>
  <Characters>17088</Characters>
  <Lines>803</Lines>
  <Paragraphs>643</Paragraphs>
  <TotalTime>0</TotalTime>
  <ScaleCrop>false</ScaleCrop>
  <LinksUpToDate>false</LinksUpToDate>
  <CharactersWithSpaces>18059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2025-05-21T00:28:00Z</dcterms:created>
  <dc:creator>WPS_1717571575</dc:creator>
  <cp:lastModifiedBy>WPS_1717571575</cp:lastModifiedBy>
  <cp:lastPrinted>2025-06-05T08:52:00Z</cp:lastPrinted>
  <dcterms:modified xsi:type="dcterms:W3CDTF">2025-06-10T03:17:51Z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ECF437C5F34A45D2B89AEE59463599BF_11</vt:lpwstr>
  </property>
  <property fmtid="{D5CDD505-2E9C-101B-9397-08002B2CF9AE}" pid="4" name="KSOTemplateDocerSaveRecord">
    <vt:lpwstr>eyJoZGlkIjoiOWFhMjBmZjM3MTBiYWQzOWQ4MjJjMTBjY2VhOGNmNDAiLCJ1c2VySWQiOiIxNjA1MTM1NDc4In0=</vt:lpwstr>
  </property>
</Properties>
</file>