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EF8D">
      <w:pPr>
        <w:jc w:val="center"/>
        <w:rPr>
          <w:rFonts w:hint="eastAsia" w:ascii="微软雅黑" w:hAnsi="微软雅黑" w:eastAsia="微软雅黑" w:cs="微软雅黑"/>
          <w:color w:val="auto"/>
          <w:highlight w:val="none"/>
        </w:rPr>
      </w:pPr>
    </w:p>
    <w:p w14:paraId="15BA4058">
      <w:pPr>
        <w:pStyle w:val="5"/>
        <w:rPr>
          <w:rFonts w:hint="eastAsia" w:ascii="微软雅黑" w:hAnsi="微软雅黑" w:eastAsia="微软雅黑" w:cs="微软雅黑"/>
          <w:color w:val="auto"/>
          <w:highlight w:val="none"/>
        </w:rPr>
      </w:pPr>
    </w:p>
    <w:p w14:paraId="63650D2B">
      <w:pPr>
        <w:pStyle w:val="6"/>
        <w:rPr>
          <w:rFonts w:hint="eastAsia" w:ascii="微软雅黑" w:hAnsi="微软雅黑" w:eastAsia="微软雅黑" w:cs="微软雅黑"/>
          <w:color w:val="auto"/>
          <w:highlight w:val="none"/>
        </w:rPr>
      </w:pPr>
    </w:p>
    <w:p w14:paraId="06714BCE">
      <w:pPr>
        <w:rPr>
          <w:color w:val="auto"/>
          <w:highlight w:val="none"/>
        </w:rPr>
      </w:pPr>
    </w:p>
    <w:p w14:paraId="0AB6C4CE">
      <w:pPr>
        <w:spacing w:line="780" w:lineRule="exact"/>
        <w:jc w:val="center"/>
        <w:rPr>
          <w:rFonts w:hint="default"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rPr>
        <w:t>重庆两江新区</w:t>
      </w:r>
      <w:r>
        <w:rPr>
          <w:rFonts w:hint="eastAsia" w:ascii="微软雅黑" w:hAnsi="微软雅黑" w:eastAsia="微软雅黑" w:cs="微软雅黑"/>
          <w:b/>
          <w:bCs/>
          <w:color w:val="auto"/>
          <w:sz w:val="36"/>
          <w:szCs w:val="36"/>
          <w:highlight w:val="none"/>
          <w:lang w:val="en-US" w:eastAsia="zh-CN"/>
        </w:rPr>
        <w:t>鸳鸯社区卫生服务中心</w:t>
      </w:r>
    </w:p>
    <w:p w14:paraId="68867C9C">
      <w:pPr>
        <w:spacing w:line="780" w:lineRule="exact"/>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招标代理服务机构遴选项目竞争性比选</w:t>
      </w:r>
    </w:p>
    <w:p w14:paraId="65489470">
      <w:pPr>
        <w:spacing w:line="700" w:lineRule="exact"/>
        <w:jc w:val="center"/>
        <w:rPr>
          <w:rFonts w:hint="eastAsia" w:ascii="微软雅黑" w:hAnsi="微软雅黑" w:eastAsia="微软雅黑" w:cs="微软雅黑"/>
          <w:color w:val="auto"/>
          <w:sz w:val="32"/>
          <w:highlight w:val="none"/>
        </w:rPr>
      </w:pPr>
    </w:p>
    <w:p w14:paraId="3AA5F8C6">
      <w:pPr>
        <w:pStyle w:val="11"/>
        <w:rPr>
          <w:color w:val="auto"/>
          <w:highlight w:val="none"/>
        </w:rPr>
      </w:pPr>
    </w:p>
    <w:p w14:paraId="2DAB6D95">
      <w:pPr>
        <w:rPr>
          <w:color w:val="auto"/>
          <w:highlight w:val="none"/>
        </w:rPr>
      </w:pPr>
    </w:p>
    <w:p w14:paraId="5792BBAA">
      <w:pPr>
        <w:pStyle w:val="5"/>
        <w:rPr>
          <w:color w:val="auto"/>
          <w:highlight w:val="none"/>
        </w:rPr>
      </w:pPr>
    </w:p>
    <w:p w14:paraId="0428BF01">
      <w:pPr>
        <w:pStyle w:val="6"/>
        <w:rPr>
          <w:color w:val="auto"/>
          <w:highlight w:val="none"/>
        </w:rPr>
      </w:pPr>
    </w:p>
    <w:p w14:paraId="7E506878">
      <w:pPr>
        <w:rPr>
          <w:color w:val="auto"/>
          <w:highlight w:val="none"/>
        </w:rPr>
      </w:pPr>
    </w:p>
    <w:p w14:paraId="5C1E4FF0">
      <w:pPr>
        <w:pStyle w:val="5"/>
        <w:rPr>
          <w:color w:val="auto"/>
          <w:highlight w:val="none"/>
        </w:rPr>
      </w:pPr>
    </w:p>
    <w:p w14:paraId="6AA9D72F">
      <w:pPr>
        <w:pStyle w:val="6"/>
        <w:rPr>
          <w:color w:val="auto"/>
          <w:highlight w:val="none"/>
        </w:rPr>
      </w:pPr>
    </w:p>
    <w:p w14:paraId="0BEDFA39">
      <w:pPr>
        <w:pStyle w:val="12"/>
        <w:rPr>
          <w:color w:val="auto"/>
          <w:highlight w:val="none"/>
        </w:rPr>
      </w:pPr>
    </w:p>
    <w:p w14:paraId="236D9534">
      <w:pPr>
        <w:rPr>
          <w:color w:val="auto"/>
          <w:highlight w:val="none"/>
        </w:rPr>
      </w:pPr>
    </w:p>
    <w:p w14:paraId="33512DFB">
      <w:pPr>
        <w:rPr>
          <w:color w:val="auto"/>
          <w:highlight w:val="none"/>
        </w:rPr>
      </w:pPr>
    </w:p>
    <w:p w14:paraId="4A1C8167">
      <w:pPr>
        <w:rPr>
          <w:color w:val="auto"/>
          <w:highlight w:val="none"/>
        </w:rPr>
      </w:pPr>
    </w:p>
    <w:p w14:paraId="16A0659E">
      <w:pPr>
        <w:rPr>
          <w:color w:val="auto"/>
          <w:highlight w:val="none"/>
        </w:rPr>
      </w:pPr>
    </w:p>
    <w:p w14:paraId="59C7896A">
      <w:pPr>
        <w:rPr>
          <w:color w:val="auto"/>
          <w:highlight w:val="none"/>
        </w:rPr>
      </w:pPr>
    </w:p>
    <w:p w14:paraId="7F0489F2">
      <w:pPr>
        <w:rPr>
          <w:color w:val="auto"/>
          <w:highlight w:val="none"/>
        </w:rPr>
      </w:pPr>
    </w:p>
    <w:p w14:paraId="2161E210">
      <w:pPr>
        <w:rPr>
          <w:color w:val="auto"/>
          <w:highlight w:val="none"/>
        </w:rPr>
      </w:pPr>
    </w:p>
    <w:p w14:paraId="701E5913">
      <w:pPr>
        <w:rPr>
          <w:color w:val="auto"/>
          <w:highlight w:val="none"/>
        </w:rPr>
      </w:pPr>
    </w:p>
    <w:p w14:paraId="2FED8D5B">
      <w:pPr>
        <w:rPr>
          <w:color w:val="auto"/>
          <w:highlight w:val="none"/>
        </w:rPr>
      </w:pPr>
    </w:p>
    <w:p w14:paraId="706EE05D">
      <w:pPr>
        <w:rPr>
          <w:color w:val="auto"/>
          <w:highlight w:val="none"/>
        </w:rPr>
      </w:pPr>
    </w:p>
    <w:p w14:paraId="56E7E6C5">
      <w:pPr>
        <w:rPr>
          <w:color w:val="auto"/>
          <w:highlight w:val="none"/>
        </w:rPr>
      </w:pPr>
    </w:p>
    <w:p w14:paraId="4AC51B54">
      <w:pPr>
        <w:rPr>
          <w:color w:val="auto"/>
          <w:highlight w:val="none"/>
        </w:rPr>
      </w:pPr>
    </w:p>
    <w:p w14:paraId="2E829A37">
      <w:pPr>
        <w:rPr>
          <w:color w:val="auto"/>
          <w:highlight w:val="none"/>
        </w:rPr>
      </w:pPr>
    </w:p>
    <w:p w14:paraId="6BB49F4A">
      <w:pPr>
        <w:rPr>
          <w:color w:val="auto"/>
          <w:highlight w:val="none"/>
        </w:rPr>
      </w:pPr>
    </w:p>
    <w:p w14:paraId="06F6B395">
      <w:pPr>
        <w:rPr>
          <w:color w:val="auto"/>
          <w:highlight w:val="none"/>
        </w:rPr>
      </w:pPr>
    </w:p>
    <w:p w14:paraId="79EFE0CE">
      <w:pPr>
        <w:pStyle w:val="5"/>
        <w:rPr>
          <w:color w:val="auto"/>
          <w:highlight w:val="none"/>
        </w:rPr>
      </w:pPr>
    </w:p>
    <w:p w14:paraId="3B0ED2D9">
      <w:pPr>
        <w:jc w:val="center"/>
        <w:rPr>
          <w:rFonts w:hint="default" w:ascii="微软雅黑" w:hAnsi="微软雅黑" w:eastAsia="微软雅黑" w:cs="微软雅黑"/>
          <w:color w:val="auto"/>
          <w:szCs w:val="28"/>
          <w:highlight w:val="none"/>
          <w:lang w:val="en-US" w:eastAsia="zh-CN"/>
        </w:rPr>
      </w:pPr>
      <w:r>
        <w:rPr>
          <w:rFonts w:hint="eastAsia" w:ascii="微软雅黑" w:hAnsi="微软雅黑" w:eastAsia="微软雅黑" w:cs="微软雅黑"/>
          <w:color w:val="auto"/>
          <w:sz w:val="30"/>
          <w:szCs w:val="30"/>
          <w:highlight w:val="none"/>
        </w:rPr>
        <w:t>采购人：</w:t>
      </w:r>
      <w:r>
        <w:rPr>
          <w:rFonts w:hint="eastAsia" w:ascii="微软雅黑" w:hAnsi="微软雅黑" w:eastAsia="微软雅黑" w:cs="微软雅黑"/>
          <w:color w:val="auto"/>
          <w:sz w:val="30"/>
          <w:szCs w:val="30"/>
          <w:highlight w:val="none"/>
          <w:lang w:val="en-US" w:eastAsia="zh-CN"/>
        </w:rPr>
        <w:t>重庆两江新区鸳鸯社区卫生服务中心</w:t>
      </w:r>
    </w:p>
    <w:p w14:paraId="72AB3842">
      <w:pPr>
        <w:spacing w:line="720" w:lineRule="exact"/>
        <w:jc w:val="center"/>
        <w:outlineLvl w:val="0"/>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   二〇二五年</w:t>
      </w:r>
      <w:r>
        <w:rPr>
          <w:rFonts w:hint="eastAsia" w:ascii="微软雅黑" w:hAnsi="微软雅黑" w:eastAsia="微软雅黑" w:cs="微软雅黑"/>
          <w:color w:val="auto"/>
          <w:sz w:val="30"/>
          <w:szCs w:val="30"/>
          <w:highlight w:val="none"/>
          <w:lang w:val="en-US" w:eastAsia="zh-CN"/>
        </w:rPr>
        <w:t>十一</w:t>
      </w:r>
      <w:r>
        <w:rPr>
          <w:rFonts w:hint="eastAsia" w:ascii="微软雅黑" w:hAnsi="微软雅黑" w:eastAsia="微软雅黑" w:cs="微软雅黑"/>
          <w:color w:val="auto"/>
          <w:sz w:val="30"/>
          <w:szCs w:val="30"/>
          <w:highlight w:val="none"/>
        </w:rPr>
        <w:t>月</w:t>
      </w:r>
    </w:p>
    <w:p w14:paraId="43D4A366">
      <w:pPr>
        <w:spacing w:line="480" w:lineRule="exact"/>
        <w:jc w:val="center"/>
        <w:outlineLvl w:val="0"/>
        <w:rPr>
          <w:rFonts w:hint="eastAsia" w:ascii="微软雅黑" w:hAnsi="微软雅黑" w:eastAsia="微软雅黑" w:cs="微软雅黑"/>
          <w:color w:val="auto"/>
          <w:sz w:val="44"/>
          <w:szCs w:val="28"/>
          <w:highlight w:val="none"/>
        </w:rPr>
      </w:pPr>
    </w:p>
    <w:p w14:paraId="1229A6FA">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76A81652">
      <w:pPr>
        <w:pStyle w:val="13"/>
        <w:tabs>
          <w:tab w:val="right" w:leader="dot" w:pos="9412"/>
        </w:tabs>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_Toc5709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比选邀请书</w:t>
      </w:r>
      <w:r>
        <w:tab/>
      </w:r>
      <w:r>
        <w:fldChar w:fldCharType="begin"/>
      </w:r>
      <w:r>
        <w:instrText xml:space="preserve"> PAGEREF _Toc5709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628475D">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_Toc4940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一、竞争性比选内容</w:t>
      </w:r>
      <w:r>
        <w:tab/>
      </w:r>
      <w:r>
        <w:fldChar w:fldCharType="begin"/>
      </w:r>
      <w:r>
        <w:instrText xml:space="preserve"> PAGEREF _Toc4940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A180704">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_Toc4122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二、代理机构资格条件</w:t>
      </w:r>
      <w:r>
        <w:tab/>
      </w:r>
      <w:r>
        <w:fldChar w:fldCharType="begin"/>
      </w:r>
      <w:r>
        <w:instrText xml:space="preserve"> PAGEREF _Toc4122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59B0AC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_Toc12861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三、比选有关说明</w:t>
      </w:r>
      <w:r>
        <w:tab/>
      </w:r>
      <w:r>
        <w:fldChar w:fldCharType="begin"/>
      </w:r>
      <w:r>
        <w:instrText xml:space="preserve"> PAGEREF _Toc12861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28629A7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_Toc26208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四、其它有关规定</w:t>
      </w:r>
      <w:r>
        <w:tab/>
      </w:r>
      <w:r>
        <w:fldChar w:fldCharType="begin"/>
      </w:r>
      <w:r>
        <w:instrText xml:space="preserve"> PAGEREF _Toc26208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1BA19A67">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_Toc3517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_Toc3517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0406CC3B">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_Toc20998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rPr>
        <w:t xml:space="preserve">第二篇 </w:t>
      </w:r>
      <w:r>
        <w:rPr>
          <w:rFonts w:hint="eastAsia" w:ascii="微软雅黑" w:hAnsi="微软雅黑" w:eastAsia="微软雅黑" w:cs="微软雅黑"/>
          <w:szCs w:val="30"/>
          <w:highlight w:val="none"/>
        </w:rPr>
        <w:t>项目服务需求</w:t>
      </w:r>
      <w:r>
        <w:tab/>
      </w:r>
      <w:r>
        <w:fldChar w:fldCharType="begin"/>
      </w:r>
      <w:r>
        <w:instrText xml:space="preserve"> PAGEREF _Toc20998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66ABBDF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说明：“※”标注的部分为符合性审查中的实质性要求，若不满足按无效投标处理。</w:t>
      </w:r>
      <w:r>
        <w:tab/>
      </w:r>
      <w:r>
        <w:fldChar w:fldCharType="begin"/>
      </w:r>
      <w:r>
        <w:instrText xml:space="preserve"> PAGEREF _Toc1278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2EE9E23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_Toc8140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一、服务内容</w:t>
      </w:r>
      <w:r>
        <w:tab/>
      </w:r>
      <w:r>
        <w:fldChar w:fldCharType="begin"/>
      </w:r>
      <w:r>
        <w:instrText xml:space="preserve"> PAGEREF _Toc8140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07FBE94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_Toc23214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二、服务要求</w:t>
      </w:r>
      <w:r>
        <w:tab/>
      </w:r>
      <w:r>
        <w:fldChar w:fldCharType="begin"/>
      </w:r>
      <w:r>
        <w:instrText xml:space="preserve"> PAGEREF _Toc23214 \h </w:instrText>
      </w:r>
      <w:r>
        <w:fldChar w:fldCharType="separate"/>
      </w:r>
      <w:r>
        <w:t>8</w:t>
      </w:r>
      <w:r>
        <w:fldChar w:fldCharType="end"/>
      </w:r>
      <w:r>
        <w:rPr>
          <w:rFonts w:hint="eastAsia" w:ascii="微软雅黑" w:hAnsi="微软雅黑" w:eastAsia="微软雅黑" w:cs="微软雅黑"/>
          <w:color w:val="auto"/>
          <w:szCs w:val="21"/>
          <w:highlight w:val="none"/>
        </w:rPr>
        <w:fldChar w:fldCharType="end"/>
      </w:r>
    </w:p>
    <w:p w14:paraId="7A3ED9B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_Toc21717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三、采购代理服务费的收取标准</w:t>
      </w:r>
      <w:r>
        <w:tab/>
      </w:r>
      <w:r>
        <w:fldChar w:fldCharType="begin"/>
      </w:r>
      <w:r>
        <w:instrText xml:space="preserve"> PAGEREF _Toc21717 \h </w:instrText>
      </w:r>
      <w:r>
        <w:fldChar w:fldCharType="separate"/>
      </w:r>
      <w:r>
        <w:t>11</w:t>
      </w:r>
      <w:r>
        <w:fldChar w:fldCharType="end"/>
      </w:r>
      <w:r>
        <w:rPr>
          <w:rFonts w:hint="eastAsia" w:ascii="微软雅黑" w:hAnsi="微软雅黑" w:eastAsia="微软雅黑" w:cs="微软雅黑"/>
          <w:color w:val="auto"/>
          <w:szCs w:val="21"/>
          <w:highlight w:val="none"/>
        </w:rPr>
        <w:fldChar w:fldCharType="end"/>
      </w:r>
    </w:p>
    <w:p w14:paraId="64B0E72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_Toc16361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四、委派方式</w:t>
      </w:r>
      <w:r>
        <w:tab/>
      </w:r>
      <w:r>
        <w:fldChar w:fldCharType="begin"/>
      </w:r>
      <w:r>
        <w:instrText xml:space="preserve"> PAGEREF _Toc16361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6520EDB">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_Toc9288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五、考核管理</w:t>
      </w:r>
      <w:r>
        <w:tab/>
      </w:r>
      <w:r>
        <w:fldChar w:fldCharType="begin"/>
      </w:r>
      <w:r>
        <w:instrText xml:space="preserve"> PAGEREF _Toc9288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56408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_Toc12231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六、违约责任</w:t>
      </w:r>
      <w:r>
        <w:tab/>
      </w:r>
      <w:r>
        <w:fldChar w:fldCharType="begin"/>
      </w:r>
      <w:r>
        <w:instrText xml:space="preserve"> PAGEREF _Toc12231 \h </w:instrText>
      </w:r>
      <w:r>
        <w:fldChar w:fldCharType="separate"/>
      </w:r>
      <w:r>
        <w:t>15</w:t>
      </w:r>
      <w:r>
        <w:fldChar w:fldCharType="end"/>
      </w:r>
      <w:r>
        <w:rPr>
          <w:rFonts w:hint="eastAsia" w:ascii="微软雅黑" w:hAnsi="微软雅黑" w:eastAsia="微软雅黑" w:cs="微软雅黑"/>
          <w:color w:val="auto"/>
          <w:szCs w:val="21"/>
          <w:highlight w:val="none"/>
        </w:rPr>
        <w:fldChar w:fldCharType="end"/>
      </w:r>
    </w:p>
    <w:p w14:paraId="6BDDA51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_Toc10018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七、其他</w:t>
      </w:r>
      <w:r>
        <w:tab/>
      </w:r>
      <w:r>
        <w:fldChar w:fldCharType="begin"/>
      </w:r>
      <w:r>
        <w:instrText xml:space="preserve"> PAGEREF _Toc10018 \h </w:instrText>
      </w:r>
      <w:r>
        <w:fldChar w:fldCharType="separate"/>
      </w:r>
      <w:r>
        <w:t>16</w:t>
      </w:r>
      <w:r>
        <w:fldChar w:fldCharType="end"/>
      </w:r>
      <w:r>
        <w:rPr>
          <w:rFonts w:hint="eastAsia" w:ascii="微软雅黑" w:hAnsi="微软雅黑" w:eastAsia="微软雅黑" w:cs="微软雅黑"/>
          <w:color w:val="auto"/>
          <w:szCs w:val="21"/>
          <w:highlight w:val="none"/>
        </w:rPr>
        <w:fldChar w:fldCharType="end"/>
      </w:r>
    </w:p>
    <w:p w14:paraId="3BD8AA96">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_Toc26745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竞选程序及方法、评审标准、无效响应和</w:t>
      </w:r>
      <w:r>
        <w:rPr>
          <w:rFonts w:hint="eastAsia" w:ascii="微软雅黑" w:hAnsi="微软雅黑" w:eastAsia="微软雅黑" w:cs="微软雅黑"/>
          <w:szCs w:val="36"/>
          <w:highlight w:val="none"/>
        </w:rPr>
        <w:t>采购终止</w:t>
      </w:r>
      <w:r>
        <w:tab/>
      </w:r>
      <w:r>
        <w:fldChar w:fldCharType="begin"/>
      </w:r>
      <w:r>
        <w:instrText xml:space="preserve"> PAGEREF _Toc26745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7B8200F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_Toc3953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一、竞选程序及方法</w:t>
      </w:r>
      <w:r>
        <w:tab/>
      </w:r>
      <w:r>
        <w:fldChar w:fldCharType="begin"/>
      </w:r>
      <w:r>
        <w:instrText xml:space="preserve"> PAGEREF _Toc3953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44165D9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_Toc30210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tab/>
      </w:r>
      <w:r>
        <w:fldChar w:fldCharType="begin"/>
      </w:r>
      <w:r>
        <w:instrText xml:space="preserve"> PAGEREF _Toc30210 \h </w:instrText>
      </w:r>
      <w:r>
        <w:fldChar w:fldCharType="separate"/>
      </w:r>
      <w:r>
        <w:t>- 19 -</w:t>
      </w:r>
      <w:r>
        <w:fldChar w:fldCharType="end"/>
      </w:r>
      <w:r>
        <w:rPr>
          <w:rFonts w:hint="eastAsia" w:ascii="微软雅黑" w:hAnsi="微软雅黑" w:eastAsia="微软雅黑" w:cs="微软雅黑"/>
          <w:color w:val="auto"/>
          <w:szCs w:val="21"/>
          <w:highlight w:val="none"/>
        </w:rPr>
        <w:fldChar w:fldCharType="end"/>
      </w:r>
    </w:p>
    <w:p w14:paraId="19ADFD6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_Toc6800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tab/>
      </w:r>
      <w:r>
        <w:fldChar w:fldCharType="begin"/>
      </w:r>
      <w:r>
        <w:instrText xml:space="preserve"> PAGEREF _Toc6800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1869E3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_Toc9239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_Toc9239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7F68C24E">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_Toc25117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代理机构须知</w:t>
      </w:r>
      <w:r>
        <w:tab/>
      </w:r>
      <w:r>
        <w:fldChar w:fldCharType="begin"/>
      </w:r>
      <w:r>
        <w:instrText xml:space="preserve"> PAGEREF _Toc25117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387B79E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_Toc6062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一、比选费用</w:t>
      </w:r>
      <w:r>
        <w:tab/>
      </w:r>
      <w:r>
        <w:fldChar w:fldCharType="begin"/>
      </w:r>
      <w:r>
        <w:instrText xml:space="preserve"> PAGEREF _Toc6062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220246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_Toc27068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二、竞争性比选文件</w:t>
      </w:r>
      <w:r>
        <w:tab/>
      </w:r>
      <w:r>
        <w:fldChar w:fldCharType="begin"/>
      </w:r>
      <w:r>
        <w:instrText xml:space="preserve"> PAGEREF _Toc27068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D627EB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_Toc5693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三、比选要求</w:t>
      </w:r>
      <w:r>
        <w:tab/>
      </w:r>
      <w:r>
        <w:fldChar w:fldCharType="begin"/>
      </w:r>
      <w:r>
        <w:instrText xml:space="preserve"> PAGEREF _Toc5693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1BD528BF">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_Toc30700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四、成交代理机构的确认和变更</w:t>
      </w:r>
      <w:r>
        <w:tab/>
      </w:r>
      <w:r>
        <w:fldChar w:fldCharType="begin"/>
      </w:r>
      <w:r>
        <w:instrText xml:space="preserve"> PAGEREF _Toc30700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23D561D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_Toc28602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_Toc28602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0E7689B6">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_Toc31344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六、签订合同</w:t>
      </w:r>
      <w:r>
        <w:tab/>
      </w:r>
      <w:r>
        <w:fldChar w:fldCharType="begin"/>
      </w:r>
      <w:r>
        <w:instrText xml:space="preserve"> PAGEREF _Toc31344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66E7DF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_Toc27100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一、响应文件封面</w:t>
      </w:r>
      <w:r>
        <w:tab/>
      </w:r>
      <w:r>
        <w:fldChar w:fldCharType="begin"/>
      </w:r>
      <w:r>
        <w:instrText xml:space="preserve"> PAGEREF _Toc27100 \h </w:instrText>
      </w:r>
      <w:r>
        <w:fldChar w:fldCharType="separate"/>
      </w:r>
      <w:r>
        <w:t>- 27 -</w:t>
      </w:r>
      <w:r>
        <w:fldChar w:fldCharType="end"/>
      </w:r>
      <w:r>
        <w:rPr>
          <w:rFonts w:hint="eastAsia" w:ascii="微软雅黑" w:hAnsi="微软雅黑" w:eastAsia="微软雅黑" w:cs="微软雅黑"/>
          <w:color w:val="auto"/>
          <w:szCs w:val="21"/>
          <w:highlight w:val="none"/>
        </w:rPr>
        <w:fldChar w:fldCharType="end"/>
      </w:r>
    </w:p>
    <w:p w14:paraId="1542586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_Toc31520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二、经济部分</w:t>
      </w:r>
      <w:r>
        <w:tab/>
      </w:r>
      <w:r>
        <w:fldChar w:fldCharType="begin"/>
      </w:r>
      <w:r>
        <w:instrText xml:space="preserve"> PAGEREF _Toc31520 \h </w:instrText>
      </w:r>
      <w:r>
        <w:fldChar w:fldCharType="separate"/>
      </w:r>
      <w:r>
        <w:t>- 28 -</w:t>
      </w:r>
      <w:r>
        <w:fldChar w:fldCharType="end"/>
      </w:r>
      <w:r>
        <w:rPr>
          <w:rFonts w:hint="eastAsia" w:ascii="微软雅黑" w:hAnsi="微软雅黑" w:eastAsia="微软雅黑" w:cs="微软雅黑"/>
          <w:color w:val="auto"/>
          <w:szCs w:val="21"/>
          <w:highlight w:val="none"/>
        </w:rPr>
        <w:fldChar w:fldCharType="end"/>
      </w:r>
    </w:p>
    <w:p w14:paraId="0B0A6AA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_Toc15920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三、服务部分</w:t>
      </w:r>
      <w:r>
        <w:tab/>
      </w:r>
      <w:r>
        <w:fldChar w:fldCharType="begin"/>
      </w:r>
      <w:r>
        <w:instrText xml:space="preserve"> PAGEREF _Toc15920 \h </w:instrText>
      </w:r>
      <w:r>
        <w:fldChar w:fldCharType="separate"/>
      </w:r>
      <w:r>
        <w:t>- 29 -</w:t>
      </w:r>
      <w:r>
        <w:fldChar w:fldCharType="end"/>
      </w:r>
      <w:r>
        <w:rPr>
          <w:rFonts w:hint="eastAsia" w:ascii="微软雅黑" w:hAnsi="微软雅黑" w:eastAsia="微软雅黑" w:cs="微软雅黑"/>
          <w:color w:val="auto"/>
          <w:szCs w:val="21"/>
          <w:highlight w:val="none"/>
        </w:rPr>
        <w:fldChar w:fldCharType="end"/>
      </w:r>
    </w:p>
    <w:p w14:paraId="64379411">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tab/>
      </w:r>
      <w:r>
        <w:fldChar w:fldCharType="begin"/>
      </w:r>
      <w:r>
        <w:instrText xml:space="preserve"> PAGEREF _Toc2555 \h </w:instrText>
      </w:r>
      <w:r>
        <w:fldChar w:fldCharType="separate"/>
      </w:r>
      <w:r>
        <w:t>- 30 -</w:t>
      </w:r>
      <w:r>
        <w:fldChar w:fldCharType="end"/>
      </w:r>
      <w:r>
        <w:rPr>
          <w:rFonts w:hint="eastAsia" w:ascii="微软雅黑" w:hAnsi="微软雅黑" w:eastAsia="微软雅黑" w:cs="微软雅黑"/>
          <w:color w:val="auto"/>
          <w:szCs w:val="21"/>
          <w:highlight w:val="none"/>
        </w:rPr>
        <w:fldChar w:fldCharType="end"/>
      </w:r>
    </w:p>
    <w:p w14:paraId="75205D36">
      <w:pPr>
        <w:pStyle w:val="13"/>
        <w:tabs>
          <w:tab w:val="right" w:leader="dot" w:pos="9402"/>
        </w:tabs>
        <w:spacing w:line="480" w:lineRule="exact"/>
        <w:ind w:left="560"/>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fldChar w:fldCharType="end"/>
      </w:r>
    </w:p>
    <w:p w14:paraId="5B38A40C">
      <w:pPr>
        <w:rPr>
          <w:color w:val="auto"/>
          <w:highlight w:val="none"/>
        </w:rPr>
      </w:pPr>
    </w:p>
    <w:p w14:paraId="606D6C44">
      <w:pPr>
        <w:rPr>
          <w:color w:val="auto"/>
          <w:highlight w:val="none"/>
        </w:rPr>
      </w:pPr>
    </w:p>
    <w:p w14:paraId="328EC215">
      <w:pPr>
        <w:tabs>
          <w:tab w:val="left" w:pos="7023"/>
        </w:tabs>
        <w:jc w:val="left"/>
        <w:rPr>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color w:val="auto"/>
          <w:highlight w:val="none"/>
        </w:rPr>
        <w:tab/>
      </w:r>
    </w:p>
    <w:p w14:paraId="5F62EFFF">
      <w:pPr>
        <w:pStyle w:val="2"/>
        <w:spacing w:line="360" w:lineRule="auto"/>
        <w:jc w:val="center"/>
        <w:rPr>
          <w:rFonts w:hint="eastAsia" w:ascii="微软雅黑" w:hAnsi="微软雅黑" w:eastAsia="微软雅黑" w:cs="微软雅黑"/>
          <w:b w:val="0"/>
          <w:color w:val="auto"/>
          <w:szCs w:val="30"/>
          <w:highlight w:val="none"/>
        </w:rPr>
      </w:pPr>
      <w:bookmarkStart w:id="0" w:name="_Toc12789052"/>
      <w:bookmarkStart w:id="1" w:name="_Toc11641050"/>
      <w:bookmarkStart w:id="2" w:name="_Toc5709"/>
      <w:r>
        <w:rPr>
          <w:rFonts w:hint="eastAsia" w:ascii="微软雅黑" w:hAnsi="微软雅黑" w:eastAsia="微软雅黑" w:cs="微软雅黑"/>
          <w:b w:val="0"/>
          <w:color w:val="auto"/>
          <w:sz w:val="36"/>
          <w:szCs w:val="30"/>
          <w:highlight w:val="none"/>
        </w:rPr>
        <w:t>第一篇  比选邀请书</w:t>
      </w:r>
      <w:bookmarkEnd w:id="0"/>
      <w:bookmarkEnd w:id="1"/>
      <w:bookmarkEnd w:id="2"/>
    </w:p>
    <w:p w14:paraId="7D0247CC">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为了公开、公平、公正、高效地完成重庆两江新区</w:t>
      </w:r>
      <w:r>
        <w:rPr>
          <w:rFonts w:hint="eastAsia" w:ascii="微软雅黑" w:hAnsi="微软雅黑" w:eastAsia="微软雅黑" w:cs="微软雅黑"/>
          <w:color w:val="auto"/>
          <w:sz w:val="24"/>
          <w:szCs w:val="24"/>
          <w:highlight w:val="none"/>
          <w:lang w:val="en-US" w:eastAsia="zh-CN"/>
        </w:rPr>
        <w:t>鸳鸯社区卫生服务中心</w:t>
      </w:r>
      <w:r>
        <w:rPr>
          <w:rFonts w:hint="eastAsia" w:ascii="微软雅黑" w:hAnsi="微软雅黑" w:eastAsia="微软雅黑" w:cs="微软雅黑"/>
          <w:color w:val="auto"/>
          <w:sz w:val="24"/>
          <w:szCs w:val="24"/>
          <w:highlight w:val="none"/>
        </w:rPr>
        <w:t>采购项目招标代理服务工作，我单位特进行竞争性比选,欢迎各代理机构参与比选。</w:t>
      </w:r>
    </w:p>
    <w:p w14:paraId="4C4F7C8A">
      <w:pPr>
        <w:pStyle w:val="3"/>
        <w:spacing w:line="400" w:lineRule="exact"/>
        <w:rPr>
          <w:rFonts w:hint="eastAsia" w:ascii="微软雅黑" w:hAnsi="微软雅黑" w:eastAsia="微软雅黑" w:cs="微软雅黑"/>
          <w:color w:val="auto"/>
          <w:sz w:val="24"/>
          <w:szCs w:val="24"/>
          <w:highlight w:val="none"/>
        </w:rPr>
      </w:pPr>
      <w:bookmarkStart w:id="3" w:name="_Toc313893526"/>
      <w:bookmarkStart w:id="4" w:name="_Toc4940"/>
      <w:bookmarkStart w:id="5" w:name="_Toc317775175"/>
      <w:r>
        <w:rPr>
          <w:rFonts w:hint="eastAsia" w:ascii="微软雅黑" w:hAnsi="微软雅黑" w:eastAsia="微软雅黑" w:cs="微软雅黑"/>
          <w:color w:val="auto"/>
          <w:sz w:val="24"/>
          <w:szCs w:val="24"/>
          <w:highlight w:val="none"/>
        </w:rPr>
        <w:t>一、竞争性比选内容</w:t>
      </w:r>
      <w:bookmarkEnd w:id="3"/>
      <w:bookmarkEnd w:id="4"/>
      <w:bookmarkEnd w:id="5"/>
    </w:p>
    <w:tbl>
      <w:tblPr>
        <w:tblStyle w:val="15"/>
        <w:tblpPr w:leftFromText="180" w:rightFromText="180" w:vertAnchor="text" w:horzAnchor="page" w:tblpX="1535" w:tblpY="0"/>
        <w:tblOverlap w:val="never"/>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502"/>
        <w:gridCol w:w="1081"/>
        <w:gridCol w:w="2252"/>
        <w:gridCol w:w="1319"/>
        <w:gridCol w:w="2136"/>
      </w:tblGrid>
      <w:tr w14:paraId="50C3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66" w:type="dxa"/>
            <w:tcBorders>
              <w:top w:val="single" w:color="auto" w:sz="4" w:space="0"/>
              <w:left w:val="single" w:color="auto" w:sz="4" w:space="0"/>
              <w:right w:val="single" w:color="auto" w:sz="4" w:space="0"/>
            </w:tcBorders>
            <w:vAlign w:val="center"/>
          </w:tcPr>
          <w:p w14:paraId="24E33A16">
            <w:pPr>
              <w:widowControl/>
              <w:jc w:val="center"/>
              <w:rPr>
                <w:rFonts w:hint="eastAsia" w:ascii="微软雅黑" w:hAnsi="微软雅黑" w:eastAsia="微软雅黑" w:cs="微软雅黑"/>
                <w:b/>
                <w:bCs/>
                <w:color w:val="auto"/>
                <w:kern w:val="0"/>
                <w:sz w:val="21"/>
                <w:szCs w:val="21"/>
                <w:highlight w:val="none"/>
              </w:rPr>
            </w:pPr>
            <w:bookmarkStart w:id="6" w:name="_Toc4122"/>
            <w:bookmarkStart w:id="7" w:name="_Toc373860293"/>
            <w:bookmarkStart w:id="8" w:name="_Toc317775178"/>
            <w:r>
              <w:rPr>
                <w:rFonts w:hint="eastAsia" w:ascii="微软雅黑" w:hAnsi="微软雅黑" w:eastAsia="微软雅黑" w:cs="微软雅黑"/>
                <w:b/>
                <w:bCs/>
                <w:color w:val="auto"/>
                <w:kern w:val="0"/>
                <w:sz w:val="21"/>
                <w:szCs w:val="21"/>
                <w:highlight w:val="none"/>
              </w:rPr>
              <w:t>项目名称</w:t>
            </w:r>
          </w:p>
        </w:tc>
        <w:tc>
          <w:tcPr>
            <w:tcW w:w="1502" w:type="dxa"/>
            <w:tcBorders>
              <w:top w:val="single" w:color="auto" w:sz="4" w:space="0"/>
              <w:left w:val="single" w:color="auto" w:sz="4" w:space="0"/>
              <w:right w:val="single" w:color="auto" w:sz="4" w:space="0"/>
            </w:tcBorders>
            <w:vAlign w:val="center"/>
          </w:tcPr>
          <w:p w14:paraId="49ABA5D9">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最高限价</w:t>
            </w:r>
          </w:p>
        </w:tc>
        <w:tc>
          <w:tcPr>
            <w:tcW w:w="1081" w:type="dxa"/>
            <w:tcBorders>
              <w:top w:val="single" w:color="auto" w:sz="4" w:space="0"/>
              <w:left w:val="single" w:color="auto" w:sz="4" w:space="0"/>
              <w:right w:val="single" w:color="auto" w:sz="4" w:space="0"/>
            </w:tcBorders>
            <w:vAlign w:val="center"/>
          </w:tcPr>
          <w:p w14:paraId="4ABAAA8E">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成交数量</w:t>
            </w:r>
          </w:p>
        </w:tc>
        <w:tc>
          <w:tcPr>
            <w:tcW w:w="2252" w:type="dxa"/>
            <w:tcBorders>
              <w:top w:val="single" w:color="auto" w:sz="4" w:space="0"/>
              <w:left w:val="single" w:color="auto" w:sz="4" w:space="0"/>
              <w:right w:val="single" w:color="auto" w:sz="4" w:space="0"/>
            </w:tcBorders>
            <w:vAlign w:val="center"/>
          </w:tcPr>
          <w:p w14:paraId="393DA1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承接代理范围</w:t>
            </w:r>
          </w:p>
        </w:tc>
        <w:tc>
          <w:tcPr>
            <w:tcW w:w="1319" w:type="dxa"/>
            <w:tcBorders>
              <w:top w:val="single" w:color="auto" w:sz="4" w:space="0"/>
              <w:left w:val="single" w:color="auto" w:sz="4" w:space="0"/>
              <w:right w:val="single" w:color="auto" w:sz="4" w:space="0"/>
            </w:tcBorders>
            <w:vAlign w:val="center"/>
          </w:tcPr>
          <w:p w14:paraId="5DFFCEF7">
            <w:pPr>
              <w:snapToGrid w:val="0"/>
              <w:spacing w:line="560" w:lineRule="exact"/>
              <w:jc w:val="center"/>
              <w:rPr>
                <w:color w:val="auto"/>
                <w:sz w:val="21"/>
                <w:szCs w:val="21"/>
                <w:highlight w:val="none"/>
              </w:rPr>
            </w:pPr>
            <w:r>
              <w:rPr>
                <w:rFonts w:hint="eastAsia" w:ascii="微软雅黑" w:hAnsi="微软雅黑" w:eastAsia="微软雅黑" w:cs="微软雅黑"/>
                <w:b/>
                <w:color w:val="auto"/>
                <w:kern w:val="0"/>
                <w:sz w:val="21"/>
                <w:szCs w:val="21"/>
                <w:highlight w:val="none"/>
              </w:rPr>
              <w:t>服务时间</w:t>
            </w:r>
          </w:p>
        </w:tc>
        <w:tc>
          <w:tcPr>
            <w:tcW w:w="2136" w:type="dxa"/>
            <w:tcBorders>
              <w:top w:val="single" w:color="auto" w:sz="4" w:space="0"/>
              <w:left w:val="single" w:color="auto" w:sz="4" w:space="0"/>
              <w:right w:val="single" w:color="auto" w:sz="4" w:space="0"/>
            </w:tcBorders>
            <w:vAlign w:val="center"/>
          </w:tcPr>
          <w:p w14:paraId="4E039C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备注</w:t>
            </w:r>
          </w:p>
        </w:tc>
      </w:tr>
      <w:tr w14:paraId="757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166" w:type="dxa"/>
            <w:tcBorders>
              <w:top w:val="single" w:color="auto" w:sz="4" w:space="0"/>
              <w:left w:val="single" w:color="auto" w:sz="4" w:space="0"/>
              <w:bottom w:val="single" w:color="auto" w:sz="4" w:space="0"/>
              <w:right w:val="single" w:color="auto" w:sz="4" w:space="0"/>
            </w:tcBorders>
            <w:vAlign w:val="center"/>
          </w:tcPr>
          <w:p w14:paraId="721F85B9">
            <w:pPr>
              <w:spacing w:line="420" w:lineRule="exact"/>
              <w:jc w:val="center"/>
              <w:rPr>
                <w:rFonts w:hint="eastAsia" w:ascii="微软雅黑" w:hAnsi="微软雅黑" w:eastAsia="微软雅黑" w:cs="微软雅黑"/>
                <w:color w:val="auto"/>
                <w:sz w:val="21"/>
                <w:szCs w:val="21"/>
                <w:highlight w:val="none"/>
              </w:rPr>
            </w:pPr>
            <w:bookmarkStart w:id="9" w:name="_Hlk344477914"/>
            <w:r>
              <w:rPr>
                <w:rFonts w:hint="eastAsia" w:ascii="微软雅黑" w:hAnsi="微软雅黑" w:eastAsia="微软雅黑" w:cs="微软雅黑"/>
                <w:color w:val="auto"/>
                <w:sz w:val="21"/>
                <w:szCs w:val="21"/>
                <w:highlight w:val="none"/>
              </w:rPr>
              <w:t>重庆两江新区</w:t>
            </w:r>
            <w:r>
              <w:rPr>
                <w:rFonts w:hint="eastAsia" w:ascii="微软雅黑" w:hAnsi="微软雅黑" w:eastAsia="微软雅黑" w:cs="微软雅黑"/>
                <w:color w:val="auto"/>
                <w:sz w:val="21"/>
                <w:szCs w:val="21"/>
                <w:highlight w:val="none"/>
                <w:lang w:val="en-US" w:eastAsia="zh-CN"/>
              </w:rPr>
              <w:t>鸳鸯社区卫生服务中心</w:t>
            </w:r>
            <w:r>
              <w:rPr>
                <w:rFonts w:hint="eastAsia" w:ascii="微软雅黑" w:hAnsi="微软雅黑" w:eastAsia="微软雅黑" w:cs="微软雅黑"/>
                <w:color w:val="auto"/>
                <w:sz w:val="21"/>
                <w:szCs w:val="21"/>
                <w:highlight w:val="none"/>
              </w:rPr>
              <w:t>招标代理服务机构遴选项目</w:t>
            </w:r>
          </w:p>
        </w:tc>
        <w:tc>
          <w:tcPr>
            <w:tcW w:w="1502" w:type="dxa"/>
            <w:tcBorders>
              <w:top w:val="single" w:color="auto" w:sz="4" w:space="0"/>
              <w:left w:val="single" w:color="auto" w:sz="4" w:space="0"/>
              <w:bottom w:val="single" w:color="auto" w:sz="4" w:space="0"/>
              <w:right w:val="single" w:color="auto" w:sz="4" w:space="0"/>
            </w:tcBorders>
            <w:vAlign w:val="center"/>
          </w:tcPr>
          <w:p w14:paraId="76F8ACF4">
            <w:pPr>
              <w:widowControl/>
              <w:spacing w:line="56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参照计价格 ［2002］1980 号《招标代理服务收费标准》</w:t>
            </w:r>
          </w:p>
        </w:tc>
        <w:tc>
          <w:tcPr>
            <w:tcW w:w="1081" w:type="dxa"/>
            <w:tcBorders>
              <w:top w:val="single" w:color="auto" w:sz="4" w:space="0"/>
              <w:left w:val="single" w:color="auto" w:sz="4" w:space="0"/>
              <w:bottom w:val="single" w:color="auto" w:sz="4" w:space="0"/>
              <w:right w:val="single" w:color="auto" w:sz="4" w:space="0"/>
            </w:tcBorders>
            <w:vAlign w:val="center"/>
          </w:tcPr>
          <w:p w14:paraId="4969369A">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1名</w:t>
            </w:r>
          </w:p>
        </w:tc>
        <w:tc>
          <w:tcPr>
            <w:tcW w:w="2252" w:type="dxa"/>
            <w:tcBorders>
              <w:top w:val="single" w:color="auto" w:sz="4" w:space="0"/>
              <w:left w:val="single" w:color="auto" w:sz="4" w:space="0"/>
              <w:bottom w:val="single" w:color="auto" w:sz="4" w:space="0"/>
              <w:right w:val="single" w:color="auto" w:sz="4" w:space="0"/>
            </w:tcBorders>
            <w:vAlign w:val="center"/>
          </w:tcPr>
          <w:p w14:paraId="7E4F0E91">
            <w:pPr>
              <w:widowControl/>
              <w:spacing w:line="560" w:lineRule="exact"/>
              <w:jc w:val="left"/>
              <w:rPr>
                <w:rFonts w:hint="eastAsia" w:ascii="微软雅黑" w:hAnsi="微软雅黑" w:eastAsia="微软雅黑" w:cs="微软雅黑"/>
                <w:color w:val="auto"/>
                <w:kern w:val="0"/>
                <w:sz w:val="21"/>
                <w:szCs w:val="21"/>
                <w:highlight w:val="none"/>
              </w:rPr>
            </w:pPr>
            <w:bookmarkStart w:id="10" w:name="OLE_LINK1"/>
            <w:r>
              <w:rPr>
                <w:rFonts w:hint="eastAsia" w:ascii="微软雅黑" w:hAnsi="微软雅黑" w:eastAsia="微软雅黑" w:cs="微软雅黑"/>
                <w:color w:val="auto"/>
                <w:kern w:val="0"/>
                <w:sz w:val="21"/>
                <w:szCs w:val="21"/>
                <w:highlight w:val="none"/>
              </w:rPr>
              <w:t>单次50万元（不含）以下采购项目，及单次 50 万元（含）以上但属</w:t>
            </w:r>
            <w:r>
              <w:rPr>
                <w:rFonts w:hint="eastAsia" w:ascii="微软雅黑" w:hAnsi="微软雅黑" w:eastAsia="微软雅黑" w:cs="微软雅黑"/>
                <w:color w:val="auto"/>
                <w:kern w:val="0"/>
                <w:sz w:val="21"/>
                <w:szCs w:val="21"/>
                <w:highlight w:val="none"/>
                <w:lang w:val="en-US" w:eastAsia="zh-CN"/>
              </w:rPr>
              <w:t>重庆市政府采购集中</w:t>
            </w:r>
            <w:r>
              <w:rPr>
                <w:rFonts w:hint="eastAsia" w:ascii="微软雅黑" w:hAnsi="微软雅黑" w:eastAsia="微软雅黑" w:cs="微软雅黑"/>
                <w:color w:val="auto"/>
                <w:kern w:val="0"/>
                <w:sz w:val="21"/>
                <w:szCs w:val="21"/>
                <w:highlight w:val="none"/>
              </w:rPr>
              <w:t>采购目录外且交易中心不承接的项目</w:t>
            </w:r>
            <w:bookmarkEnd w:id="10"/>
          </w:p>
        </w:tc>
        <w:tc>
          <w:tcPr>
            <w:tcW w:w="1319" w:type="dxa"/>
            <w:tcBorders>
              <w:top w:val="single" w:color="auto" w:sz="4" w:space="0"/>
              <w:left w:val="single" w:color="auto" w:sz="4" w:space="0"/>
              <w:bottom w:val="single" w:color="auto" w:sz="4" w:space="0"/>
              <w:right w:val="single" w:color="auto" w:sz="4" w:space="0"/>
            </w:tcBorders>
            <w:vAlign w:val="center"/>
          </w:tcPr>
          <w:p w14:paraId="19C3D0B7">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bookmarkStart w:id="11" w:name="OLE_LINK6"/>
            <w:r>
              <w:rPr>
                <w:rFonts w:hint="eastAsia" w:ascii="微软雅黑" w:hAnsi="微软雅黑" w:eastAsia="微软雅黑" w:cs="微软雅黑"/>
                <w:color w:val="auto"/>
                <w:kern w:val="0"/>
                <w:sz w:val="21"/>
                <w:szCs w:val="21"/>
                <w:highlight w:val="none"/>
              </w:rPr>
              <w:t>自合同签订之日起</w:t>
            </w:r>
            <w:r>
              <w:rPr>
                <w:rFonts w:hint="eastAsia" w:ascii="微软雅黑" w:hAnsi="微软雅黑" w:eastAsia="微软雅黑" w:cs="微软雅黑"/>
                <w:color w:val="auto"/>
                <w:kern w:val="0"/>
                <w:sz w:val="21"/>
                <w:szCs w:val="21"/>
                <w:highlight w:val="none"/>
                <w:lang w:val="en-US" w:eastAsia="zh-CN"/>
              </w:rPr>
              <w:t>至2026年12月1日</w:t>
            </w:r>
            <w:bookmarkEnd w:id="11"/>
          </w:p>
        </w:tc>
        <w:tc>
          <w:tcPr>
            <w:tcW w:w="2136" w:type="dxa"/>
            <w:tcBorders>
              <w:top w:val="single" w:color="auto" w:sz="4" w:space="0"/>
              <w:left w:val="single" w:color="auto" w:sz="4" w:space="0"/>
              <w:bottom w:val="single" w:color="auto" w:sz="4" w:space="0"/>
              <w:right w:val="single" w:color="auto" w:sz="4" w:space="0"/>
            </w:tcBorders>
            <w:vAlign w:val="center"/>
          </w:tcPr>
          <w:p w14:paraId="348B4E49">
            <w:pPr>
              <w:widowControl/>
              <w:spacing w:line="560" w:lineRule="exact"/>
              <w:jc w:val="left"/>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rPr>
              <w:t>因</w:t>
            </w:r>
            <w:r>
              <w:rPr>
                <w:rFonts w:hint="eastAsia" w:ascii="微软雅黑" w:hAnsi="微软雅黑" w:eastAsia="微软雅黑" w:cs="微软雅黑"/>
                <w:color w:val="auto"/>
                <w:kern w:val="0"/>
                <w:sz w:val="21"/>
                <w:szCs w:val="21"/>
                <w:highlight w:val="none"/>
              </w:rPr>
              <w:t>本次采购为补充采购，</w:t>
            </w:r>
            <w:r>
              <w:rPr>
                <w:rFonts w:hint="eastAsia" w:ascii="微软雅黑" w:hAnsi="微软雅黑" w:eastAsia="微软雅黑" w:cs="微软雅黑"/>
                <w:color w:val="auto"/>
                <w:kern w:val="0"/>
                <w:sz w:val="21"/>
                <w:szCs w:val="21"/>
                <w:highlight w:val="none"/>
                <w:lang w:val="en-US" w:eastAsia="zh-CN"/>
              </w:rPr>
              <w:t>本次</w:t>
            </w:r>
            <w:r>
              <w:rPr>
                <w:rFonts w:hint="eastAsia" w:ascii="微软雅黑" w:hAnsi="微软雅黑" w:eastAsia="微软雅黑" w:cs="微软雅黑"/>
                <w:color w:val="auto"/>
                <w:kern w:val="0"/>
                <w:sz w:val="21"/>
                <w:szCs w:val="21"/>
                <w:highlight w:val="none"/>
              </w:rPr>
              <w:t>中标</w:t>
            </w:r>
            <w:r>
              <w:rPr>
                <w:rFonts w:hint="eastAsia" w:ascii="微软雅黑" w:hAnsi="微软雅黑" w:eastAsia="微软雅黑" w:cs="微软雅黑"/>
                <w:color w:val="auto"/>
                <w:kern w:val="0"/>
                <w:sz w:val="21"/>
                <w:szCs w:val="21"/>
                <w:highlight w:val="none"/>
                <w:lang w:val="en-US" w:eastAsia="zh-CN"/>
              </w:rPr>
              <w:t>的</w:t>
            </w:r>
            <w:r>
              <w:rPr>
                <w:rFonts w:hint="eastAsia" w:ascii="微软雅黑" w:hAnsi="微软雅黑" w:eastAsia="微软雅黑" w:cs="微软雅黑"/>
                <w:color w:val="auto"/>
                <w:kern w:val="0"/>
                <w:sz w:val="21"/>
                <w:szCs w:val="21"/>
                <w:highlight w:val="none"/>
              </w:rPr>
              <w:t>代理公司将和医院已有代理公司采取顺序轮候</w:t>
            </w:r>
            <w:r>
              <w:rPr>
                <w:rFonts w:hint="eastAsia" w:ascii="微软雅黑" w:hAnsi="微软雅黑" w:eastAsia="微软雅黑" w:cs="微软雅黑"/>
                <w:color w:val="auto"/>
                <w:kern w:val="0"/>
                <w:sz w:val="21"/>
                <w:szCs w:val="21"/>
                <w:highlight w:val="none"/>
                <w:lang w:val="en-US" w:eastAsia="zh-CN"/>
              </w:rPr>
              <w:t>开展委托事项</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lang w:val="en-US" w:eastAsia="zh-CN"/>
              </w:rPr>
              <w:t>已与医院签约的代理公司排序在先</w:t>
            </w:r>
            <w:r>
              <w:rPr>
                <w:rFonts w:hint="eastAsia" w:ascii="微软雅黑" w:hAnsi="微软雅黑" w:eastAsia="微软雅黑" w:cs="微软雅黑"/>
                <w:color w:val="auto"/>
                <w:kern w:val="0"/>
                <w:sz w:val="21"/>
                <w:szCs w:val="21"/>
                <w:highlight w:val="none"/>
                <w:lang w:eastAsia="zh-CN"/>
              </w:rPr>
              <w:t>）。</w:t>
            </w:r>
          </w:p>
        </w:tc>
      </w:tr>
      <w:bookmarkEnd w:id="9"/>
    </w:tbl>
    <w:p w14:paraId="1E290FB7">
      <w:pPr>
        <w:pStyle w:val="3"/>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二、代理机构资格条件</w:t>
      </w:r>
      <w:bookmarkEnd w:id="6"/>
    </w:p>
    <w:p w14:paraId="05A7F71E">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代理机构是指向采购人提供货物、工程或者服务的法人、其他组织。合格的代理机构应符合政府采购法第二十二条规定的基本条件，同时符合根据该项目特殊要求设置的特定资格条件。</w:t>
      </w:r>
    </w:p>
    <w:p w14:paraId="29615001">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（一）基本资格条件</w:t>
      </w:r>
    </w:p>
    <w:p w14:paraId="63B92DE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p w14:paraId="168EDDD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p w14:paraId="1B710C03">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p w14:paraId="5D5EB5A8">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4.有依法缴纳税收和社会保障资金的良好记录；</w:t>
      </w:r>
    </w:p>
    <w:p w14:paraId="1210B6E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p w14:paraId="1644310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p w14:paraId="3B100E46">
      <w:pPr>
        <w:spacing w:line="520" w:lineRule="exact"/>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若供应商是总公司授权的分公司参与采购，只接受总公司授权的一家分公司参与采购（提供授权书原件）。若总公司授权多家分公司参与采购的，被授权的所有分公司均为无效响应；若总公司也同时参与采购的，总公司与被授权的所有分公司均为无效响应。</w:t>
      </w:r>
    </w:p>
    <w:p w14:paraId="17AA827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1A1E167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1.须入驻重庆市政府采购代理机构库（提供重庆市政府采购网相关截图并加盖公章）。</w:t>
      </w:r>
    </w:p>
    <w:p w14:paraId="129D362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2.具有良好的商业信誉，未因政府采购相关业务受到</w:t>
      </w:r>
      <w:r>
        <w:rPr>
          <w:rFonts w:hint="eastAsia" w:ascii="微软雅黑" w:hAnsi="微软雅黑" w:eastAsia="微软雅黑" w:cs="微软雅黑"/>
          <w:color w:val="auto"/>
          <w:sz w:val="24"/>
          <w:szCs w:val="24"/>
          <w:highlight w:val="none"/>
          <w:lang w:val="en-US" w:eastAsia="zh-CN"/>
        </w:rPr>
        <w:t>各地</w:t>
      </w:r>
      <w:r>
        <w:rPr>
          <w:rFonts w:hint="eastAsia" w:ascii="微软雅黑" w:hAnsi="微软雅黑" w:eastAsia="微软雅黑" w:cs="微软雅黑"/>
          <w:color w:val="auto"/>
          <w:sz w:val="24"/>
          <w:szCs w:val="24"/>
          <w:highlight w:val="none"/>
        </w:rPr>
        <w:t>财政局处罚，提供承诺书（格式自拟）；</w:t>
      </w:r>
    </w:p>
    <w:p w14:paraId="01D2126E">
      <w:pPr>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3.遵守诚实守信原则和保密义务，维护采购人利益，自觉抵制政府采购领域商业贿赂行为，提供廉洁承诺书（格式自拟）。</w:t>
      </w:r>
    </w:p>
    <w:p w14:paraId="14E113B2">
      <w:pPr>
        <w:pStyle w:val="3"/>
        <w:spacing w:line="480" w:lineRule="exact"/>
        <w:rPr>
          <w:rFonts w:hint="eastAsia" w:ascii="微软雅黑" w:hAnsi="微软雅黑" w:eastAsia="微软雅黑" w:cs="微软雅黑"/>
          <w:color w:val="auto"/>
          <w:sz w:val="24"/>
          <w:szCs w:val="24"/>
          <w:highlight w:val="none"/>
        </w:rPr>
      </w:pPr>
      <w:bookmarkStart w:id="12" w:name="_Toc12861"/>
      <w:r>
        <w:rPr>
          <w:rFonts w:hint="eastAsia" w:ascii="微软雅黑" w:hAnsi="微软雅黑" w:eastAsia="微软雅黑" w:cs="微软雅黑"/>
          <w:color w:val="auto"/>
          <w:sz w:val="24"/>
          <w:szCs w:val="24"/>
          <w:highlight w:val="none"/>
        </w:rPr>
        <w:t>三、比选有关说明</w:t>
      </w:r>
      <w:bookmarkEnd w:id="7"/>
      <w:bookmarkEnd w:id="12"/>
    </w:p>
    <w:bookmarkEnd w:id="8"/>
    <w:p w14:paraId="5F106AD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bookmarkStart w:id="13" w:name="_Toc373860294"/>
      <w:r>
        <w:rPr>
          <w:rFonts w:hint="eastAsia" w:ascii="微软雅黑" w:hAnsi="微软雅黑" w:eastAsia="微软雅黑" w:cs="微软雅黑"/>
          <w:color w:val="auto"/>
          <w:sz w:val="24"/>
          <w:szCs w:val="24"/>
          <w:highlight w:val="none"/>
        </w:rPr>
        <w:t>凡有意参加的供应商，请于公告发布之日起至提交响应文件截止时间之前在重庆两江新区人民医院官网(http://www.ljxqrmyy.com/html/yyzb/)自行下载本项目比选文件、补遗等比选前公布的所有项目资料，无论供应商下载与否，均视为已知晓所有文件实质性要求内容。</w:t>
      </w:r>
    </w:p>
    <w:p w14:paraId="00FEB73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（二）竞争性比选公告期限：自采购公告发布之日起三个工作日。</w:t>
      </w:r>
    </w:p>
    <w:p w14:paraId="6945648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bookmarkStart w:id="14" w:name="_Toc14103757"/>
      <w:bookmarkStart w:id="15" w:name="_Toc14103901"/>
      <w:bookmarkStart w:id="16" w:name="_Toc14103821"/>
      <w:r>
        <w:rPr>
          <w:rFonts w:hint="eastAsia" w:ascii="微软雅黑" w:hAnsi="微软雅黑" w:eastAsia="微软雅黑" w:cs="微软雅黑"/>
          <w:color w:val="auto"/>
          <w:sz w:val="24"/>
          <w:szCs w:val="24"/>
          <w:highlight w:val="none"/>
        </w:rPr>
        <w:t>代理机构须</w:t>
      </w:r>
      <w:bookmarkEnd w:id="14"/>
      <w:bookmarkEnd w:id="15"/>
      <w:bookmarkEnd w:id="16"/>
      <w:bookmarkStart w:id="17" w:name="_Toc14103903"/>
      <w:bookmarkStart w:id="18" w:name="_Toc14103759"/>
      <w:bookmarkStart w:id="19" w:name="_Toc14103823"/>
      <w:r>
        <w:rPr>
          <w:rFonts w:hint="eastAsia" w:ascii="微软雅黑" w:hAnsi="微软雅黑" w:eastAsia="微软雅黑" w:cs="微软雅黑"/>
          <w:color w:val="auto"/>
          <w:sz w:val="24"/>
          <w:szCs w:val="24"/>
          <w:highlight w:val="none"/>
        </w:rPr>
        <w:t>按时递交投标文件</w:t>
      </w:r>
      <w:bookmarkEnd w:id="17"/>
      <w:bookmarkEnd w:id="18"/>
      <w:bookmarkEnd w:id="19"/>
      <w:r>
        <w:rPr>
          <w:rFonts w:hint="eastAsia" w:ascii="微软雅黑" w:hAnsi="微软雅黑" w:eastAsia="微软雅黑" w:cs="微软雅黑"/>
          <w:color w:val="auto"/>
          <w:sz w:val="24"/>
          <w:szCs w:val="24"/>
          <w:highlight w:val="none"/>
        </w:rPr>
        <w:t>。</w:t>
      </w:r>
    </w:p>
    <w:p w14:paraId="5A451A99">
      <w:pPr>
        <w:spacing w:line="5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（四）递交响应文件地点：</w:t>
      </w:r>
      <w:r>
        <w:rPr>
          <w:rFonts w:hint="eastAsia" w:ascii="微软雅黑" w:hAnsi="微软雅黑" w:eastAsia="微软雅黑" w:cs="微软雅黑"/>
          <w:color w:val="auto"/>
          <w:sz w:val="24"/>
          <w:szCs w:val="24"/>
          <w:highlight w:val="none"/>
          <w:lang w:val="en-US" w:eastAsia="zh-CN"/>
        </w:rPr>
        <w:t>重庆两江新区鸳鸯社区卫生服务中心五楼党员活动室</w:t>
      </w:r>
    </w:p>
    <w:p w14:paraId="155C23C5">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（五）报名及响应文件递交开始时间：2025年</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25</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31F8E7D7">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（六）报名及响应文件递交截止时间：2025年</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25</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0C2CD8CA">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（七）比选开始时间：2025年</w:t>
      </w:r>
      <w:r>
        <w:rPr>
          <w:rFonts w:hint="eastAsia" w:ascii="微软雅黑" w:hAnsi="微软雅黑" w:eastAsia="微软雅黑" w:cs="微软雅黑"/>
          <w:color w:val="auto"/>
          <w:sz w:val="24"/>
          <w:szCs w:val="24"/>
          <w:highlight w:val="none"/>
          <w:lang w:val="en-US" w:eastAsia="zh-CN"/>
        </w:rPr>
        <w:t xml:space="preserve"> 11</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25</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bookmarkEnd w:id="13"/>
    <w:p w14:paraId="62E555DD">
      <w:pPr>
        <w:pStyle w:val="3"/>
        <w:spacing w:line="380" w:lineRule="exact"/>
        <w:rPr>
          <w:rFonts w:hint="eastAsia" w:ascii="微软雅黑" w:hAnsi="微软雅黑" w:eastAsia="微软雅黑" w:cs="微软雅黑"/>
          <w:color w:val="auto"/>
          <w:sz w:val="24"/>
          <w:szCs w:val="24"/>
          <w:highlight w:val="none"/>
        </w:rPr>
      </w:pPr>
      <w:bookmarkStart w:id="20" w:name="_Toc17448"/>
      <w:bookmarkStart w:id="21" w:name="_Toc26208"/>
      <w:r>
        <w:rPr>
          <w:rFonts w:hint="eastAsia" w:ascii="微软雅黑" w:hAnsi="微软雅黑" w:eastAsia="微软雅黑" w:cs="微软雅黑"/>
          <w:color w:val="auto"/>
          <w:sz w:val="24"/>
          <w:szCs w:val="24"/>
          <w:highlight w:val="none"/>
        </w:rPr>
        <w:t>四、其它有关规定</w:t>
      </w:r>
      <w:bookmarkEnd w:id="20"/>
      <w:bookmarkEnd w:id="21"/>
    </w:p>
    <w:p w14:paraId="21B8290B">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（一）单位负责人为同一人或者存在直接控股、管理关系的不同代理机构，不得参加同一合同项下的采购活动，否则均为无效响应。</w:t>
      </w:r>
    </w:p>
    <w:p w14:paraId="43D1C55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（二）为采购项目提供整体设计、规范编制或者项目管理、监理、检测等服务的代理机构，不得再参加该采购项目的其他采购活动。</w:t>
      </w:r>
      <w:bookmarkStart w:id="129" w:name="_GoBack"/>
      <w:bookmarkEnd w:id="129"/>
    </w:p>
    <w:p w14:paraId="3FDE8D4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（三）本项目的补遗文件（如果有）在重庆两江新区人民医院官网上发布，请各代理机构注意下载；无论代理机构下载与否，均视同代理机构已知晓本项目补遗文件（如果有）的内容。</w:t>
      </w:r>
    </w:p>
    <w:p w14:paraId="0F57588F">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（四）超过比选响应文件截止时间递交的比选响应文件，恕不接收。</w:t>
      </w:r>
    </w:p>
    <w:p w14:paraId="4B1DF792">
      <w:pPr>
        <w:snapToGrid w:val="0"/>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（五）比选费用：无论比选结果如何，代理机构参与本项目比选的所有费用均应由代理机构自行承担。</w:t>
      </w:r>
    </w:p>
    <w:p w14:paraId="0E62A9C3">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（六）本项目不接受联合体参与比选，否则按无效处理。</w:t>
      </w:r>
    </w:p>
    <w:p w14:paraId="5A3A396B">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（七）本项目不接受合同分包，否则按无效处理。</w:t>
      </w:r>
    </w:p>
    <w:p w14:paraId="6A0301C0">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按照《财政部关于在政府采购活动中查询及使用信用记录有关问题的通知》财库〔2016〕125号，代理机构列入失信被执行人、重大税收违法案件当事人名单、政府采购严重违法失信行为记录名单及其他不符合《中华人民共和国政府采购法》第二十二条规定条件的代理机构，将拒绝其参与政府采购活动。</w:t>
      </w:r>
    </w:p>
    <w:p w14:paraId="45C4FB3D">
      <w:pPr>
        <w:pStyle w:val="3"/>
        <w:spacing w:line="380" w:lineRule="exact"/>
        <w:rPr>
          <w:rFonts w:hint="eastAsia" w:ascii="微软雅黑" w:hAnsi="微软雅黑" w:eastAsia="微软雅黑" w:cs="微软雅黑"/>
          <w:color w:val="auto"/>
          <w:sz w:val="24"/>
          <w:szCs w:val="24"/>
          <w:highlight w:val="none"/>
        </w:rPr>
      </w:pPr>
      <w:bookmarkStart w:id="22" w:name="_Toc3517"/>
      <w:r>
        <w:rPr>
          <w:rFonts w:hint="eastAsia" w:ascii="微软雅黑" w:hAnsi="微软雅黑" w:eastAsia="微软雅黑" w:cs="微软雅黑"/>
          <w:color w:val="auto"/>
          <w:sz w:val="24"/>
          <w:szCs w:val="24"/>
          <w:highlight w:val="none"/>
        </w:rPr>
        <w:t>五、联系方式</w:t>
      </w:r>
      <w:bookmarkEnd w:id="22"/>
    </w:p>
    <w:p w14:paraId="0F260D6E">
      <w:pPr>
        <w:snapToGrid w:val="0"/>
        <w:spacing w:line="520" w:lineRule="exact"/>
        <w:ind w:firstLine="480" w:firstLineChars="200"/>
        <w:rPr>
          <w:rFonts w:hint="default" w:ascii="微软雅黑" w:hAnsi="微软雅黑" w:eastAsia="微软雅黑" w:cs="微软雅黑"/>
          <w:color w:val="auto"/>
          <w:sz w:val="24"/>
          <w:szCs w:val="24"/>
          <w:highlight w:val="none"/>
          <w:lang w:val="en-US" w:eastAsia="zh-CN"/>
        </w:rPr>
      </w:pPr>
      <w:bookmarkStart w:id="23" w:name="OLE_LINK3"/>
      <w:r>
        <w:rPr>
          <w:rFonts w:hint="eastAsia" w:ascii="微软雅黑" w:hAnsi="微软雅黑" w:eastAsia="微软雅黑" w:cs="微软雅黑"/>
          <w:color w:val="auto"/>
          <w:sz w:val="24"/>
          <w:szCs w:val="24"/>
          <w:highlight w:val="none"/>
        </w:rPr>
        <w:t>（一）采购人：</w:t>
      </w:r>
      <w:r>
        <w:rPr>
          <w:rFonts w:hint="eastAsia" w:ascii="微软雅黑" w:hAnsi="微软雅黑" w:eastAsia="微软雅黑" w:cs="微软雅黑"/>
          <w:color w:val="auto"/>
          <w:sz w:val="24"/>
          <w:szCs w:val="24"/>
          <w:highlight w:val="none"/>
          <w:lang w:val="en-US" w:eastAsia="zh-CN"/>
        </w:rPr>
        <w:t>重庆两江新区鸳鸯社区卫生服务中心</w:t>
      </w:r>
    </w:p>
    <w:p w14:paraId="766DA362">
      <w:pPr>
        <w:snapToGrid w:val="0"/>
        <w:spacing w:line="5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易老师</w:t>
      </w:r>
    </w:p>
    <w:p w14:paraId="5AC1D634">
      <w:pPr>
        <w:snapToGrid w:val="0"/>
        <w:spacing w:line="52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val="en-US" w:eastAsia="zh-CN"/>
        </w:rPr>
        <w:t>023-81926155</w:t>
      </w:r>
    </w:p>
    <w:p w14:paraId="23728F9B">
      <w:pPr>
        <w:snapToGrid w:val="0"/>
        <w:spacing w:line="520" w:lineRule="exact"/>
        <w:ind w:firstLine="480" w:firstLineChars="200"/>
        <w:rPr>
          <w:rFonts w:hint="eastAsia" w:ascii="微软雅黑" w:hAnsi="微软雅黑" w:eastAsia="微软雅黑" w:cs="微软雅黑"/>
          <w:color w:val="auto"/>
          <w:sz w:val="24"/>
          <w:szCs w:val="24"/>
          <w:highlight w:val="none"/>
        </w:rPr>
        <w:sectPr>
          <w:pgSz w:w="11907" w:h="16840"/>
          <w:pgMar w:top="1134" w:right="1418" w:bottom="1134" w:left="1418" w:header="964" w:footer="992" w:gutter="0"/>
          <w:pgNumType w:fmt="numberInDash"/>
          <w:cols w:space="720" w:num="1"/>
          <w:docGrid w:linePitch="312" w:charSpace="0"/>
        </w:sect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val="en-US" w:eastAsia="zh-CN"/>
        </w:rPr>
        <w:t>重庆市两江新区金开大道1239号2-1座</w:t>
      </w:r>
      <w:r>
        <w:rPr>
          <w:rFonts w:hint="eastAsia" w:ascii="微软雅黑" w:hAnsi="微软雅黑" w:eastAsia="微软雅黑" w:cs="微软雅黑"/>
          <w:color w:val="auto"/>
          <w:sz w:val="24"/>
          <w:szCs w:val="24"/>
          <w:highlight w:val="none"/>
        </w:rPr>
        <w:t>。</w:t>
      </w:r>
    </w:p>
    <w:p w14:paraId="51E6B11C">
      <w:pPr>
        <w:pStyle w:val="2"/>
        <w:numPr>
          <w:ilvl w:val="0"/>
          <w:numId w:val="1"/>
        </w:numPr>
        <w:spacing w:line="360" w:lineRule="auto"/>
        <w:jc w:val="center"/>
        <w:rPr>
          <w:rFonts w:hint="eastAsia" w:ascii="微软雅黑" w:hAnsi="微软雅黑" w:eastAsia="微软雅黑" w:cs="微软雅黑"/>
          <w:b w:val="0"/>
          <w:color w:val="auto"/>
          <w:sz w:val="36"/>
          <w:szCs w:val="30"/>
          <w:highlight w:val="none"/>
        </w:rPr>
      </w:pPr>
      <w:bookmarkStart w:id="24" w:name="_Toc20998"/>
      <w:r>
        <w:rPr>
          <w:rFonts w:hint="eastAsia" w:ascii="微软雅黑" w:hAnsi="微软雅黑" w:eastAsia="微软雅黑" w:cs="微软雅黑"/>
          <w:b w:val="0"/>
          <w:color w:val="auto"/>
          <w:sz w:val="36"/>
          <w:szCs w:val="30"/>
          <w:highlight w:val="none"/>
        </w:rPr>
        <w:t>项目服务</w:t>
      </w:r>
      <w:bookmarkEnd w:id="23"/>
      <w:r>
        <w:rPr>
          <w:rFonts w:hint="eastAsia" w:ascii="微软雅黑" w:hAnsi="微软雅黑" w:eastAsia="微软雅黑" w:cs="微软雅黑"/>
          <w:b w:val="0"/>
          <w:color w:val="auto"/>
          <w:sz w:val="36"/>
          <w:szCs w:val="30"/>
          <w:highlight w:val="none"/>
        </w:rPr>
        <w:t>需求</w:t>
      </w:r>
      <w:bookmarkEnd w:id="24"/>
    </w:p>
    <w:p w14:paraId="2C1719B8">
      <w:pPr>
        <w:pStyle w:val="3"/>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bookmarkStart w:id="25" w:name="_Toc1278"/>
      <w:bookmarkStart w:id="26" w:name="_Toc12789058"/>
      <w:r>
        <w:rPr>
          <w:rFonts w:hint="eastAsia" w:ascii="微软雅黑" w:hAnsi="微软雅黑" w:eastAsia="微软雅黑" w:cs="微软雅黑"/>
          <w:color w:val="auto"/>
          <w:sz w:val="24"/>
          <w:szCs w:val="24"/>
          <w:highlight w:val="none"/>
        </w:rPr>
        <w:t>说明：“※”标注的部分为符合性审查中的实质性要求，若不满足按无效投标处理。</w:t>
      </w:r>
      <w:bookmarkEnd w:id="25"/>
    </w:p>
    <w:p w14:paraId="24BA7B99">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7" w:name="_Toc8140"/>
      <w:r>
        <w:rPr>
          <w:rFonts w:hint="eastAsia" w:ascii="微软雅黑" w:hAnsi="微软雅黑" w:eastAsia="微软雅黑" w:cs="微软雅黑"/>
          <w:color w:val="auto"/>
          <w:sz w:val="28"/>
          <w:szCs w:val="28"/>
          <w:highlight w:val="none"/>
        </w:rPr>
        <w:t>一、服务内容</w:t>
      </w:r>
      <w:bookmarkEnd w:id="27"/>
    </w:p>
    <w:p w14:paraId="7169BC34">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负责采购人单次50万元（不含）以下采购项目，及单次 50 万元（含）以上但属</w:t>
      </w:r>
      <w:r>
        <w:rPr>
          <w:rFonts w:hint="eastAsia" w:ascii="微软雅黑" w:hAnsi="微软雅黑" w:eastAsia="微软雅黑" w:cs="微软雅黑"/>
          <w:color w:val="auto"/>
          <w:sz w:val="24"/>
          <w:szCs w:val="24"/>
          <w:highlight w:val="none"/>
          <w:lang w:val="en-US" w:eastAsia="zh-CN"/>
        </w:rPr>
        <w:t>重庆市政府集中</w:t>
      </w:r>
      <w:r>
        <w:rPr>
          <w:rFonts w:hint="eastAsia" w:ascii="微软雅黑" w:hAnsi="微软雅黑" w:eastAsia="微软雅黑" w:cs="微软雅黑"/>
          <w:color w:val="auto"/>
          <w:sz w:val="24"/>
          <w:szCs w:val="24"/>
          <w:highlight w:val="none"/>
        </w:rPr>
        <w:t>采购目录外且交易中心不承接的项目的采购代理工作；具体内容包括但不限于以下工作：</w:t>
      </w:r>
    </w:p>
    <w:p w14:paraId="43DFF11C">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（一）协助采购人进行招标前期市场调研、组织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产品推介会、组织现场探勘等前期工作，为采购人提供工作咨询服务；</w:t>
      </w:r>
    </w:p>
    <w:p w14:paraId="3FCBDFD6">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（二）负责编制采购文件，包括该类文件的澄清或补遗文件；根据采购人提供的需求情况编制采购文件，送采购人审核批准；</w:t>
      </w:r>
    </w:p>
    <w:p w14:paraId="44CC2C7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（三）按照采购人审定的采购文件要求，编写采购公告并负责发布采购信息；</w:t>
      </w:r>
    </w:p>
    <w:p w14:paraId="1A9B5620">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（四）负责采购文件的发售、开标、评标、编写评标报告、评标结果的公示；</w:t>
      </w:r>
    </w:p>
    <w:p w14:paraId="6716F0D5">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（五）负责组织采购文件答疑会或对潜在</w:t>
      </w:r>
      <w:r>
        <w:rPr>
          <w:rFonts w:hint="eastAsia" w:ascii="微软雅黑" w:hAnsi="微软雅黑" w:eastAsia="微软雅黑" w:cs="微软雅黑"/>
          <w:color w:val="auto"/>
          <w:sz w:val="24"/>
          <w:szCs w:val="24"/>
          <w:highlight w:val="none"/>
          <w:lang w:val="en-US" w:eastAsia="zh-CN"/>
        </w:rPr>
        <w:t>供应商进行</w:t>
      </w:r>
      <w:r>
        <w:rPr>
          <w:rFonts w:hint="eastAsia" w:ascii="微软雅黑" w:hAnsi="微软雅黑" w:eastAsia="微软雅黑" w:cs="微软雅黑"/>
          <w:color w:val="auto"/>
          <w:sz w:val="24"/>
          <w:szCs w:val="24"/>
          <w:highlight w:val="none"/>
        </w:rPr>
        <w:t>书面答疑，并负责整理答疑资料，</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形成澄清或者补遗通知作为采购文件的一部分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通知所有获取采购文件的潜在</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rPr>
        <w:t>；</w:t>
      </w:r>
    </w:p>
    <w:p w14:paraId="7A1F5D2B">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（六）根据采购项目需求，负责组织或协助采购人组织专家参与评标，并支付评标专家劳务费；</w:t>
      </w:r>
    </w:p>
    <w:p w14:paraId="5893046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（七）负责办理投标保证金收取和退还事宜；在采购文件要求的期限内，督促成交供应商按时缴纳履约保证金或保函，并及时将相关证明材料交采购人（若有）。</w:t>
      </w:r>
    </w:p>
    <w:p w14:paraId="70A9479A">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（八）负责采购资料的整理及归档，并于确定中标或成交人后，向采购人移交采购过程的采购情况报告电子档及纸质档（纸质档须装订成册，包括但不限于采购过程中产生的全部资料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，所有音视频资料刻录成光碟</w:t>
      </w:r>
      <w:r>
        <w:rPr>
          <w:rFonts w:hint="eastAsia" w:ascii="微软雅黑" w:hAnsi="微软雅黑" w:eastAsia="微软雅黑" w:cs="微软雅黑"/>
          <w:color w:val="auto"/>
          <w:sz w:val="24"/>
          <w:szCs w:val="24"/>
          <w:highlight w:val="none"/>
          <w:lang w:val="en-US" w:eastAsia="zh-CN"/>
        </w:rPr>
        <w:t>或U盘</w:t>
      </w:r>
      <w:r>
        <w:rPr>
          <w:rFonts w:hint="eastAsia" w:ascii="微软雅黑" w:hAnsi="微软雅黑" w:eastAsia="微软雅黑" w:cs="微软雅黑"/>
          <w:color w:val="auto"/>
          <w:sz w:val="24"/>
          <w:szCs w:val="24"/>
          <w:highlight w:val="none"/>
        </w:rPr>
        <w:t>并做好标识；</w:t>
      </w:r>
    </w:p>
    <w:p w14:paraId="5B10E8CD">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（九）协助采购人发出成交通知书，拟制合同初稿，协助采购人完成采购合同的签订及公示（若有）。</w:t>
      </w:r>
    </w:p>
    <w:p w14:paraId="3505A196">
      <w:pPr>
        <w:pStyle w:val="5"/>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（十）协助处理采购项目中的</w:t>
      </w:r>
      <w:r>
        <w:rPr>
          <w:rFonts w:hint="eastAsia" w:ascii="微软雅黑" w:hAnsi="微软雅黑" w:eastAsia="微软雅黑" w:cs="微软雅黑"/>
          <w:color w:val="auto"/>
          <w:sz w:val="24"/>
          <w:szCs w:val="24"/>
          <w:highlight w:val="none"/>
          <w:lang w:val="en-US" w:eastAsia="zh-CN"/>
        </w:rPr>
        <w:t>质疑或</w:t>
      </w:r>
      <w:r>
        <w:rPr>
          <w:rFonts w:hint="eastAsia" w:ascii="微软雅黑" w:hAnsi="微软雅黑" w:eastAsia="微软雅黑" w:cs="微软雅黑"/>
          <w:color w:val="auto"/>
          <w:sz w:val="24"/>
          <w:szCs w:val="24"/>
          <w:highlight w:val="none"/>
        </w:rPr>
        <w:t>投诉，及时告知采购人，按照相关法律或采购文件规定积极提出科学的措施，及时完成回复的拟制、修改、发出等工作。</w:t>
      </w:r>
    </w:p>
    <w:p w14:paraId="75C2386E">
      <w:pPr>
        <w:pStyle w:val="6"/>
        <w:ind w:firstLine="480"/>
        <w:rPr>
          <w:rFonts w:hint="eastAsia" w:ascii="微软雅黑" w:hAnsi="微软雅黑" w:eastAsia="微软雅黑" w:cs="微软雅黑"/>
          <w:color w:val="auto"/>
          <w:kern w:val="2"/>
          <w:szCs w:val="24"/>
          <w:highlight w:val="none"/>
        </w:rPr>
      </w:pPr>
      <w:r>
        <w:rPr>
          <w:rFonts w:hint="eastAsia" w:hAnsi="宋体" w:cs="宋体"/>
          <w:color w:val="auto"/>
          <w:sz w:val="20"/>
          <w:highlight w:val="none"/>
          <w:shd w:val="clear" w:color="auto" w:fill="FFFFFF"/>
          <w:lang w:bidi="ar"/>
        </w:rPr>
        <w:t>▲</w:t>
      </w:r>
      <w:r>
        <w:rPr>
          <w:rFonts w:hint="eastAsia" w:ascii="微软雅黑" w:hAnsi="微软雅黑" w:eastAsia="微软雅黑" w:cs="微软雅黑"/>
          <w:color w:val="auto"/>
          <w:kern w:val="2"/>
          <w:szCs w:val="24"/>
          <w:highlight w:val="none"/>
        </w:rPr>
        <w:t>（十一）派驻专人对采购人历年来采购项目档案进行专业的、规范化的整理和归档。</w:t>
      </w:r>
    </w:p>
    <w:p w14:paraId="0B29EC6D">
      <w:pPr>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（十二）代理机构须提供常设每周7天×24小时服务专线和长期的免费技术支持。如采购有人有需要，需在3小时内到达现场。</w:t>
      </w:r>
    </w:p>
    <w:p w14:paraId="1047DC25">
      <w:pPr>
        <w:ind w:firstLine="480"/>
        <w:rPr>
          <w:color w:val="auto"/>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（十三）代理机构须不定期收集整理政府采购及招标投标有关法律、法规和地方规章制度，及时更新并向采购人提供相关文件；在合同期内，对采购人提供不少于壹次政府采购培训和相关政策宣讲。</w:t>
      </w:r>
    </w:p>
    <w:p w14:paraId="43E3E291">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（十四）协助采购人完成由集采代理机构承接的项目和院内比选等项目，工作内容包括但不限于：需求调查（若需）、政府采购项目需求调查阶段相关文件拟制、组织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产品推介会、采购（比选）文件的编制与审核、组织现场勘察和答疑会、质疑投诉的处理、参与会审</w:t>
      </w:r>
      <w:bookmarkStart w:id="28" w:name="OLE_LINK2"/>
      <w:r>
        <w:rPr>
          <w:rFonts w:hint="eastAsia" w:ascii="微软雅黑" w:hAnsi="微软雅黑" w:eastAsia="微软雅黑" w:cs="微软雅黑"/>
          <w:color w:val="auto"/>
          <w:sz w:val="24"/>
          <w:szCs w:val="24"/>
          <w:highlight w:val="none"/>
        </w:rPr>
        <w:t>（若需）</w:t>
      </w:r>
      <w:bookmarkEnd w:id="28"/>
      <w:r>
        <w:rPr>
          <w:rFonts w:hint="eastAsia" w:ascii="微软雅黑" w:hAnsi="微软雅黑" w:eastAsia="微软雅黑" w:cs="微软雅黑"/>
          <w:color w:val="auto"/>
          <w:sz w:val="24"/>
          <w:szCs w:val="24"/>
          <w:highlight w:val="none"/>
        </w:rPr>
        <w:t>、主持现场开标（院内比选项目）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现场</w:t>
      </w:r>
      <w:r>
        <w:rPr>
          <w:rFonts w:hint="eastAsia" w:ascii="微软雅黑" w:hAnsi="微软雅黑" w:eastAsia="微软雅黑" w:cs="微软雅黑"/>
          <w:color w:val="auto"/>
          <w:sz w:val="24"/>
          <w:szCs w:val="24"/>
          <w:highlight w:val="none"/>
        </w:rPr>
        <w:t>分数统计</w:t>
      </w:r>
      <w:r>
        <w:rPr>
          <w:rFonts w:hint="eastAsia" w:ascii="微软雅黑" w:hAnsi="微软雅黑" w:eastAsia="微软雅黑" w:cs="微软雅黑"/>
          <w:color w:val="auto"/>
          <w:sz w:val="24"/>
          <w:szCs w:val="24"/>
          <w:highlight w:val="none"/>
          <w:lang w:val="en-US" w:eastAsia="zh-CN"/>
        </w:rPr>
        <w:t>及现场资料拟制</w:t>
      </w:r>
      <w:r>
        <w:rPr>
          <w:rFonts w:hint="eastAsia" w:ascii="微软雅黑" w:hAnsi="微软雅黑" w:eastAsia="微软雅黑" w:cs="微软雅黑"/>
          <w:color w:val="auto"/>
          <w:sz w:val="24"/>
          <w:szCs w:val="24"/>
          <w:highlight w:val="none"/>
        </w:rPr>
        <w:t>（院内比选项目）、资料移交与送审、合同拟制等，过程中产生所有费用均由采购代理机构承担。</w:t>
      </w:r>
    </w:p>
    <w:p w14:paraId="7942E532">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（十五）采购代理机构须无条件配合采购人接受的各级审计、巡视工作。无条件接受采购人及其纪检监察、审计和其他行政主管部门监督。</w:t>
      </w:r>
    </w:p>
    <w:p w14:paraId="3D7CC4B8">
      <w:pPr>
        <w:ind w:firstLine="48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（十六）采购人有权要求成交采购代理机构提供医院常见采购项目重难点分析，分析的重点包括容易质疑及投诉的点分析、采购方式的选择及依据，质疑投诉处理预案等。主要</w:t>
      </w:r>
      <w:r>
        <w:rPr>
          <w:rFonts w:hint="eastAsia" w:ascii="微软雅黑" w:hAnsi="微软雅黑" w:eastAsia="微软雅黑" w:cs="微软雅黑"/>
          <w:color w:val="auto"/>
          <w:sz w:val="24"/>
          <w:szCs w:val="24"/>
          <w:highlight w:val="none"/>
          <w:lang w:val="en-US" w:eastAsia="zh-CN"/>
        </w:rPr>
        <w:t>包括</w:t>
      </w:r>
      <w:r>
        <w:rPr>
          <w:rFonts w:hint="eastAsia" w:ascii="微软雅黑" w:hAnsi="微软雅黑" w:eastAsia="微软雅黑" w:cs="微软雅黑"/>
          <w:color w:val="auto"/>
          <w:sz w:val="24"/>
          <w:szCs w:val="24"/>
          <w:highlight w:val="none"/>
        </w:rPr>
        <w:t>1.固定资产类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；2.办公耗材类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；3.外包管理</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类（</w:t>
      </w:r>
      <w:r>
        <w:rPr>
          <w:rFonts w:hint="eastAsia" w:ascii="微软雅黑" w:hAnsi="微软雅黑" w:eastAsia="微软雅黑" w:cs="微软雅黑"/>
          <w:color w:val="auto"/>
          <w:sz w:val="24"/>
          <w:szCs w:val="24"/>
          <w:highlight w:val="none"/>
          <w:lang w:val="en-US" w:eastAsia="zh-CN"/>
        </w:rPr>
        <w:t>食堂</w:t>
      </w:r>
      <w:r>
        <w:rPr>
          <w:rFonts w:hint="eastAsia" w:ascii="微软雅黑" w:hAnsi="微软雅黑" w:eastAsia="微软雅黑" w:cs="微软雅黑"/>
          <w:color w:val="auto"/>
          <w:sz w:val="24"/>
          <w:szCs w:val="24"/>
          <w:highlight w:val="none"/>
        </w:rPr>
        <w:t>、保洁、洗涤等）；4.食品类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；5.设施设备维保类（电力运维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电梯维保、</w:t>
      </w:r>
      <w:r>
        <w:rPr>
          <w:rFonts w:hint="eastAsia" w:ascii="微软雅黑" w:hAnsi="微软雅黑" w:eastAsia="微软雅黑" w:cs="微软雅黑"/>
          <w:color w:val="auto"/>
          <w:sz w:val="24"/>
          <w:szCs w:val="24"/>
          <w:highlight w:val="none"/>
        </w:rPr>
        <w:t>空调维保等）；6.医院工程类项目。</w:t>
      </w:r>
      <w:r>
        <w:rPr>
          <w:rFonts w:hint="eastAsia" w:ascii="微软雅黑" w:hAnsi="微软雅黑" w:eastAsia="微软雅黑" w:cs="微软雅黑"/>
          <w:color w:val="auto"/>
          <w:sz w:val="24"/>
          <w:szCs w:val="24"/>
          <w:highlight w:val="none"/>
          <w:lang w:val="en-US" w:eastAsia="zh-CN"/>
        </w:rPr>
        <w:t>7.医学装备类采购及维保项目（含医用耗材）。</w:t>
      </w:r>
    </w:p>
    <w:p w14:paraId="527DD92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（十七）完成采购人交办的其他工作。</w:t>
      </w:r>
    </w:p>
    <w:p w14:paraId="0F7C16DC">
      <w:pPr>
        <w:spacing w:line="520" w:lineRule="exact"/>
        <w:ind w:firstLine="570"/>
        <w:jc w:val="lef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特别说明：在任何情况下，采购人不保证成交代理机构在服务周期内所获取的业务量与业务收入。</w:t>
      </w:r>
    </w:p>
    <w:p w14:paraId="4CDF2D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9" w:name="_Toc23214"/>
      <w:bookmarkStart w:id="30" w:name="_Toc14525"/>
      <w:r>
        <w:rPr>
          <w:rFonts w:hint="eastAsia" w:ascii="微软雅黑" w:hAnsi="微软雅黑" w:eastAsia="微软雅黑" w:cs="微软雅黑"/>
          <w:color w:val="auto"/>
          <w:sz w:val="28"/>
          <w:szCs w:val="28"/>
          <w:highlight w:val="none"/>
        </w:rPr>
        <w:t>二、服务要求</w:t>
      </w:r>
      <w:bookmarkEnd w:id="29"/>
      <w:bookmarkEnd w:id="30"/>
    </w:p>
    <w:p w14:paraId="3F26B17F">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（一）代理行为合法合规</w:t>
      </w:r>
    </w:p>
    <w:p w14:paraId="35CFE3FA">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1.</w:t>
      </w:r>
      <w:r>
        <w:rPr>
          <w:rFonts w:hint="eastAsia" w:ascii="微软雅黑" w:hAnsi="微软雅黑" w:eastAsia="微软雅黑" w:cs="微软雅黑"/>
          <w:color w:val="auto"/>
          <w:sz w:val="24"/>
          <w:szCs w:val="24"/>
          <w:highlight w:val="none"/>
        </w:rPr>
        <w:t>采购代理机构必须严格执行国家采购法律法规，自觉接受采购人的业务指导和监督管理，全力维护采购人的合法权益；在代理服务中的整个招标采购过程需按照国家政府采购相关法律法规的要求，符合代理项目的招标采购流程，不得有营私舞弊的行为。如因没有执行相关政策规定，或擅自改变采购人需求而没有明确告知等，损害采购人利益的，采购人</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依法追究其责任，并上报当地主管部门或监管部门。</w:t>
      </w:r>
    </w:p>
    <w:p w14:paraId="4AA50641">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highlight w:val="none"/>
        </w:rPr>
        <w:t>采购代理机构向采购人</w:t>
      </w:r>
      <w:r>
        <w:rPr>
          <w:rFonts w:hint="eastAsia" w:ascii="微软雅黑" w:hAnsi="微软雅黑" w:eastAsia="微软雅黑" w:cs="微软雅黑"/>
          <w:color w:val="auto"/>
          <w:sz w:val="24"/>
          <w:szCs w:val="24"/>
          <w:highlight w:val="none"/>
          <w:lang w:val="en-US" w:eastAsia="zh-CN"/>
        </w:rPr>
        <w:t>递交</w:t>
      </w:r>
      <w:r>
        <w:rPr>
          <w:rFonts w:hint="eastAsia" w:ascii="微软雅黑" w:hAnsi="微软雅黑" w:eastAsia="微软雅黑" w:cs="微软雅黑"/>
          <w:color w:val="auto"/>
          <w:sz w:val="24"/>
          <w:szCs w:val="24"/>
          <w:highlight w:val="none"/>
        </w:rPr>
        <w:t>的所有有关采购活动的资料，均须通过书面形式移交，采购人收悉后，将按审核意见予以回复；采购人向采购代理机构提出的意见建议，采购代理机构应予以审核，如与采购相关法规不符，采购代理机构应当予以拒绝并提出相应意见或建议，确保代理项目合法、合规。</w:t>
      </w:r>
    </w:p>
    <w:p w14:paraId="1C0B0385">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rPr>
        <w:t>运用自身的专业技能</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积极</w:t>
      </w:r>
      <w:r>
        <w:rPr>
          <w:rFonts w:hint="eastAsia" w:ascii="微软雅黑" w:hAnsi="微软雅黑" w:eastAsia="微软雅黑" w:cs="微软雅黑"/>
          <w:color w:val="auto"/>
          <w:sz w:val="24"/>
          <w:szCs w:val="24"/>
          <w:highlight w:val="none"/>
        </w:rPr>
        <w:t>为采购人提出专业建议</w:t>
      </w:r>
      <w:r>
        <w:rPr>
          <w:rFonts w:hint="eastAsia" w:ascii="微软雅黑" w:hAnsi="微软雅黑" w:eastAsia="微软雅黑" w:cs="微软雅黑"/>
          <w:color w:val="auto"/>
          <w:sz w:val="24"/>
          <w:szCs w:val="24"/>
          <w:highlight w:val="none"/>
          <w:lang w:val="en-US" w:eastAsia="zh-CN"/>
        </w:rPr>
        <w:t>和解决方案</w:t>
      </w:r>
      <w:r>
        <w:rPr>
          <w:rFonts w:hint="eastAsia" w:ascii="微软雅黑" w:hAnsi="微软雅黑" w:eastAsia="微软雅黑" w:cs="微软雅黑"/>
          <w:color w:val="auto"/>
          <w:sz w:val="24"/>
          <w:szCs w:val="24"/>
          <w:highlight w:val="none"/>
        </w:rPr>
        <w:t>，做好采购代理工作，并提供与采购项目有关的其它服务。</w:t>
      </w:r>
    </w:p>
    <w:p w14:paraId="562259B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采购代理机构必须对采购人单位信息进行保密，在未经采购人事先书面同意的情况下，任何时候均不得将招标信息的任何内容或者从采购人处知晓的关于采购人单位的任何信息泄露给任何其它方。由此造成的影响由代理机构负全责，并取消资格，禁止代理我院任何采购项目，并依法追究其法律责任，上报当地主管部门或监管部门。</w:t>
      </w:r>
    </w:p>
    <w:p w14:paraId="592A0FB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代理机构须遵守相关管理规定，接受采购人的满意度评价或考核，接受采购人以任何形式对投标文件内容及采购人认为有必要的相关资料的真实性和有效性进行审查、验证，如不能或拒绝提供视为弃标或违约行为。</w:t>
      </w:r>
    </w:p>
    <w:p w14:paraId="60023C03">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（二）团队人员要求</w:t>
      </w:r>
    </w:p>
    <w:p w14:paraId="4F0215C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1.项目负责人1名，团队其他人员至少需包括资料员、档案管理人员、现场开标人员（至少2名），须按时按量完成采购人交办的工作。提供上述人员在本单位社保缴纳记录，要求详见资格审查部分。</w:t>
      </w:r>
    </w:p>
    <w:p w14:paraId="38171CE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项目负责人须深度参与采购项目，尽力保障代理服务高效的履行，</w:t>
      </w:r>
      <w:r>
        <w:rPr>
          <w:rFonts w:hint="eastAsia" w:ascii="微软雅黑" w:hAnsi="微软雅黑" w:eastAsia="微软雅黑" w:cs="微软雅黑"/>
          <w:color w:val="auto"/>
          <w:sz w:val="24"/>
          <w:szCs w:val="24"/>
          <w:highlight w:val="none"/>
        </w:rPr>
        <w:t>服务期限内若确实需要更换拟派负责人的，须征得采购人的同意，而且更换人员的技术职称和工作经验必须高于或等于拟派人员的技术职称和工作经验；</w:t>
      </w:r>
    </w:p>
    <w:p w14:paraId="3D2E084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团队其他人员应按照本文件要求积极配合采购人完成代理工作，</w:t>
      </w:r>
      <w:r>
        <w:rPr>
          <w:rFonts w:hint="eastAsia" w:ascii="微软雅黑" w:hAnsi="微软雅黑" w:eastAsia="微软雅黑" w:cs="微软雅黑"/>
          <w:color w:val="auto"/>
          <w:sz w:val="24"/>
          <w:szCs w:val="24"/>
          <w:highlight w:val="none"/>
        </w:rPr>
        <w:t>服务期限内若确实需要更换拟派团队其他人员的，更换人员的技术职称和工作经验必须高于或等于拟派人员的技术职称和工作经验；</w:t>
      </w:r>
    </w:p>
    <w:p w14:paraId="3099BFBE">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(三）服务质量要求</w:t>
      </w:r>
    </w:p>
    <w:p w14:paraId="157D878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1.代理机构具有履行合同所必须的场所、设施设备和专业技术能力，如监控设备（开评标室均需），电子评标所需电脑设备，纸笔等。</w:t>
      </w:r>
    </w:p>
    <w:p w14:paraId="60B763A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2.代理机构具有丰富的从事医疗卫生领域的政府采购和招标代理的经验，有经验丰富的法务团队，能及时合理处理招标采购质疑和投诉。</w:t>
      </w:r>
    </w:p>
    <w:p w14:paraId="26ECFD5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3.代理机构应有预判项目风险的能力，及时提醒采购人可能存在的风险点和应对措施。在任何情况下，</w:t>
      </w:r>
      <w:r>
        <w:rPr>
          <w:rFonts w:hint="eastAsia" w:ascii="微软雅黑" w:hAnsi="微软雅黑" w:eastAsia="微软雅黑" w:cs="微软雅黑"/>
          <w:color w:val="auto"/>
          <w:sz w:val="24"/>
          <w:szCs w:val="24"/>
          <w:highlight w:val="none"/>
          <w:lang w:val="en-US" w:eastAsia="zh-CN"/>
        </w:rPr>
        <w:t>若因代理机构的原因致使委托代理事项难以高效执行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甚至引起纠纷、质疑、投诉、处罚的，</w:t>
      </w:r>
      <w:r>
        <w:rPr>
          <w:rFonts w:hint="eastAsia" w:ascii="微软雅黑" w:hAnsi="微软雅黑" w:eastAsia="微软雅黑" w:cs="微软雅黑"/>
          <w:color w:val="auto"/>
          <w:sz w:val="24"/>
          <w:szCs w:val="24"/>
          <w:highlight w:val="none"/>
        </w:rPr>
        <w:t>代理机构需承担相应责任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采购人有权</w:t>
      </w:r>
      <w:r>
        <w:rPr>
          <w:rFonts w:hint="eastAsia" w:ascii="微软雅黑" w:hAnsi="微软雅黑" w:eastAsia="微软雅黑" w:cs="微软雅黑"/>
          <w:color w:val="auto"/>
          <w:sz w:val="24"/>
          <w:szCs w:val="24"/>
          <w:highlight w:val="none"/>
        </w:rPr>
        <w:t>视后果轻重给予包括但不局限于暂停委托、无条件解除协议等处罚。</w:t>
      </w:r>
    </w:p>
    <w:p w14:paraId="340F0CB6">
      <w:pPr>
        <w:spacing w:line="520" w:lineRule="exact"/>
        <w:ind w:firstLine="570"/>
        <w:jc w:val="left"/>
        <w:rPr>
          <w:rFonts w:hint="default" w:ascii="微软雅黑" w:hAnsi="微软雅黑" w:eastAsia="微软雅黑" w:cs="微软雅黑"/>
          <w:color w:val="auto"/>
          <w:sz w:val="24"/>
          <w:szCs w:val="24"/>
          <w:highlight w:val="none"/>
          <w:lang w:val="en-US" w:eastAsia="zh-CN"/>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4.各委托项目的服务期：确定采购代理机构之日起，至所有采购项目的中标通知书发出及依法办理完成各项采购、中标手续并将各项资料完整地移交给采购人，且各方按协议完成保证金和手续费的应付、应收、应退的各项事宜为止。如有特殊情况采购人取消采购任务或提出终止委托的除外。</w:t>
      </w:r>
      <w:r>
        <w:rPr>
          <w:rFonts w:hint="eastAsia" w:ascii="微软雅黑" w:hAnsi="微软雅黑" w:eastAsia="微软雅黑" w:cs="微软雅黑"/>
          <w:color w:val="auto"/>
          <w:sz w:val="24"/>
          <w:szCs w:val="24"/>
          <w:highlight w:val="none"/>
          <w:lang w:val="en-US" w:eastAsia="zh-CN"/>
        </w:rPr>
        <w:t>档案管理时间不计入本服务期中计算，按照各代理机构响应的时间执行。</w:t>
      </w:r>
    </w:p>
    <w:p w14:paraId="153FA30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采购代理机构承接每个项目前，应充分了解掌握采购项目需求情况，紧贴项目实际拟制各类采购文书，严禁随意将以往的采购文件复制剪贴，糊弄应付，甚至错漏百出。合同履约过程中，采购人将对入选的采购代理机构实施考评机制，考核超过三次评分为基本合格或一次为不合格的采购代理机构，</w:t>
      </w:r>
      <w:r>
        <w:rPr>
          <w:rFonts w:hint="eastAsia" w:ascii="微软雅黑" w:hAnsi="微软雅黑" w:eastAsia="微软雅黑" w:cs="微软雅黑"/>
          <w:color w:val="auto"/>
          <w:sz w:val="24"/>
          <w:szCs w:val="24"/>
          <w:highlight w:val="none"/>
          <w:lang w:val="en-US" w:eastAsia="zh-CN"/>
        </w:rPr>
        <w:t>采购人</w:t>
      </w:r>
      <w:r>
        <w:rPr>
          <w:rFonts w:hint="eastAsia" w:ascii="微软雅黑" w:hAnsi="微软雅黑" w:eastAsia="微软雅黑" w:cs="微软雅黑"/>
          <w:color w:val="auto"/>
          <w:sz w:val="24"/>
          <w:szCs w:val="24"/>
          <w:highlight w:val="none"/>
        </w:rPr>
        <w:t>有权单方面解除服务合同。</w:t>
      </w:r>
    </w:p>
    <w:p w14:paraId="2201D4D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6.采购代理机构须按合同约定的内容和时间完成工作。招标采购过程要做出工作进度表给采购人（若需），让采购人了解整个招标工作的进展情况；</w:t>
      </w:r>
    </w:p>
    <w:p w14:paraId="6B603D0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7.采购代理过程中，如遇有投标人质疑、投诉或作出情况说明等，采购代理机构在收到相关资料后，应根据自身专业知识及工作经验，分析原因，积极向采购人提出合法、合规的处理意见建议，并负责对相关问题进行回复。 </w:t>
      </w:r>
    </w:p>
    <w:p w14:paraId="5B8BA65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4"/>
          <w:highlight w:val="none"/>
          <w:lang w:val="en-US" w:eastAsia="zh-CN"/>
        </w:rPr>
        <w:t>由</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的开评标场地应有完善的监控设备，代理机构应保证医院审计科、纪检监察科或上级部门可随时调取开评标现场监控资料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若</w:t>
      </w:r>
      <w:r>
        <w:rPr>
          <w:rFonts w:hint="eastAsia" w:ascii="微软雅黑" w:hAnsi="微软雅黑" w:eastAsia="微软雅黑" w:cs="微软雅黑"/>
          <w:color w:val="auto"/>
          <w:sz w:val="24"/>
          <w:szCs w:val="24"/>
          <w:highlight w:val="none"/>
        </w:rPr>
        <w:t>开评标场地在交易中心的项目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采购代理机构应协助采购人拷贝监控资料（包括但不限于资料递交、准备U盘等）</w:t>
      </w:r>
      <w:r>
        <w:rPr>
          <w:rFonts w:hint="eastAsia" w:ascii="微软雅黑" w:hAnsi="微软雅黑" w:eastAsia="微软雅黑" w:cs="微软雅黑"/>
          <w:color w:val="auto"/>
          <w:sz w:val="24"/>
          <w:szCs w:val="24"/>
          <w:highlight w:val="none"/>
        </w:rPr>
        <w:t>。</w:t>
      </w:r>
    </w:p>
    <w:p w14:paraId="085B186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9.在服务期限内，由采购人根据工作的特点和要求具体确定时间，代理机构必须在约定的时间内完成相关工作。以下为工作时限一般要求，紧急情况下的时限要求以采购人通知为准：</w:t>
      </w:r>
    </w:p>
    <w:p w14:paraId="5EE527A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（1）采购（招标）前期报建或需求调查阶段（如有），代理机构应在2个工作日内拟定完毕资料文件并传回采购人。 </w:t>
      </w:r>
    </w:p>
    <w:p w14:paraId="6D7634F6">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招标）文件编制阶段，代理机构应在2个工作日内拟定初稿传采购人审核，在收到采购人修订意见后1个工作日内完成修改，定稿经采购人确认及相关部门审查备案（如需）后，代理机构应在1个工作日内对外发布。</w:t>
      </w:r>
    </w:p>
    <w:p w14:paraId="5DF059B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（3）答疑补遗阶段，代理机构应及时向采购人反馈质疑，提出初步处理建议，并在法定时间（若无法定时间，按采购人内控制度或采购文件执行）内组织答疑、补遗。</w:t>
      </w:r>
    </w:p>
    <w:p w14:paraId="14B20B78">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（4）评审（评标）结果公告（公示）阶段，代理机构应当在评标结束后1个工作日内将评标报告送采购人，中标人确定后在法定期限内公告中标结果，按规定发出中标通知书。</w:t>
      </w:r>
    </w:p>
    <w:p w14:paraId="6DE936E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档案整理阶段，代理机构应在发出成交（中标）通知书后7日内按采购人规定整理1套完整采购（招标）档案资料并移交至采购人指定地点（封存资料的项目代理机构应当及时启封资料，并在启封后2个工作日内移交），并按采购人要求填报项目采购（招标）相关表格，同时代理机构应按规定留存一套完整采购（招标）档案资料存档15年。</w:t>
      </w:r>
    </w:p>
    <w:p w14:paraId="07AEDF10">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提供档案管理制度、档案管理人员基本信息、档案存储地点和照片、档案储存地的房屋购买或房屋租赁的合同（原件必查），中标后采购人有权进行实地考察并不定期查看归档情况，若发现虚假应标，采购人有权直接解除合同。</w:t>
      </w:r>
    </w:p>
    <w:p w14:paraId="2BB05898">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1" w:name="_Toc21717"/>
      <w:bookmarkStart w:id="32" w:name="_Toc8163"/>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三、采购代理服务费的收取标准</w:t>
      </w:r>
      <w:bookmarkEnd w:id="31"/>
      <w:bookmarkEnd w:id="32"/>
    </w:p>
    <w:p w14:paraId="5C9A230F">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（一）项目代理服务费分为“按标准下浮率收费”、“最低收费”、“浮动收费”三种方式： </w:t>
      </w:r>
    </w:p>
    <w:p w14:paraId="6B6D5560">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1.按标准收费：根据以下标准并结合所投折扣率进行计算（折扣率为固定值，不得为区间值，计算后精确到小数点后两位。）</w:t>
      </w:r>
    </w:p>
    <w:p w14:paraId="48D5905A">
      <w:pPr>
        <w:pStyle w:val="14"/>
        <w:ind w:firstLine="480" w:firstLineChars="200"/>
        <w:rPr>
          <w:rFonts w:hint="eastAsia" w:ascii="微软雅黑" w:hAnsi="微软雅黑" w:eastAsia="微软雅黑" w:cs="微软雅黑"/>
          <w:color w:val="auto"/>
          <w:highlight w:val="none"/>
        </w:rPr>
      </w:pPr>
    </w:p>
    <w:p w14:paraId="11FE40EC">
      <w:pPr>
        <w:pStyle w:val="14"/>
        <w:ind w:firstLine="480" w:firstLineChars="200"/>
        <w:rPr>
          <w:rFonts w:hint="eastAsia" w:ascii="微软雅黑" w:hAnsi="微软雅黑" w:eastAsia="微软雅黑" w:cs="微软雅黑"/>
          <w:strike/>
          <w:color w:val="auto"/>
          <w:highlight w:val="none"/>
        </w:rPr>
      </w:pPr>
    </w:p>
    <w:tbl>
      <w:tblPr>
        <w:tblStyle w:val="15"/>
        <w:tblpPr w:leftFromText="180" w:rightFromText="180" w:vertAnchor="text" w:horzAnchor="page" w:tblpX="1764" w:tblpY="-5"/>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1833"/>
        <w:gridCol w:w="1767"/>
        <w:gridCol w:w="2066"/>
      </w:tblGrid>
      <w:tr w14:paraId="07EE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112" w:type="dxa"/>
            <w:tcBorders>
              <w:tl2br w:val="single" w:color="auto" w:sz="4" w:space="0"/>
            </w:tcBorders>
          </w:tcPr>
          <w:p w14:paraId="3D08BBA5">
            <w:pPr>
              <w:spacing w:line="520" w:lineRule="exact"/>
              <w:ind w:firstLine="1682" w:firstLineChars="801"/>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招标类型</w:t>
            </w:r>
          </w:p>
          <w:p w14:paraId="13277184">
            <w:pPr>
              <w:spacing w:line="520" w:lineRule="exact"/>
              <w:ind w:firstLine="210" w:firstLineChars="1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中标金额（万元）</w:t>
            </w:r>
          </w:p>
        </w:tc>
        <w:tc>
          <w:tcPr>
            <w:tcW w:w="1833" w:type="dxa"/>
            <w:vAlign w:val="center"/>
          </w:tcPr>
          <w:p w14:paraId="3A372B1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货物招标</w:t>
            </w:r>
          </w:p>
        </w:tc>
        <w:tc>
          <w:tcPr>
            <w:tcW w:w="1767" w:type="dxa"/>
            <w:vAlign w:val="center"/>
          </w:tcPr>
          <w:p w14:paraId="5A1FD2C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服务招标</w:t>
            </w:r>
          </w:p>
        </w:tc>
        <w:tc>
          <w:tcPr>
            <w:tcW w:w="2066" w:type="dxa"/>
            <w:vAlign w:val="center"/>
          </w:tcPr>
          <w:p w14:paraId="3900AF1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工程招标</w:t>
            </w:r>
          </w:p>
        </w:tc>
      </w:tr>
      <w:tr w14:paraId="36B3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49F22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1833" w:type="dxa"/>
            <w:vAlign w:val="center"/>
          </w:tcPr>
          <w:p w14:paraId="7A99DA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1767" w:type="dxa"/>
            <w:vAlign w:val="center"/>
          </w:tcPr>
          <w:p w14:paraId="6D48AF3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066" w:type="dxa"/>
            <w:vAlign w:val="center"/>
          </w:tcPr>
          <w:p w14:paraId="669BC4B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124F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006CCD3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100-200</w:t>
            </w:r>
          </w:p>
        </w:tc>
        <w:tc>
          <w:tcPr>
            <w:tcW w:w="1833" w:type="dxa"/>
            <w:vAlign w:val="center"/>
          </w:tcPr>
          <w:p w14:paraId="0131210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1767" w:type="dxa"/>
            <w:vAlign w:val="center"/>
          </w:tcPr>
          <w:p w14:paraId="09FF716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066" w:type="dxa"/>
            <w:vAlign w:val="center"/>
          </w:tcPr>
          <w:p w14:paraId="283E77E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0B33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3CF9DDC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200-500</w:t>
            </w:r>
          </w:p>
        </w:tc>
        <w:tc>
          <w:tcPr>
            <w:tcW w:w="1833" w:type="dxa"/>
            <w:vAlign w:val="center"/>
          </w:tcPr>
          <w:p w14:paraId="74F5A4C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1.08%</w:t>
            </w:r>
          </w:p>
        </w:tc>
        <w:tc>
          <w:tcPr>
            <w:tcW w:w="1767" w:type="dxa"/>
            <w:vAlign w:val="center"/>
          </w:tcPr>
          <w:p w14:paraId="6125BF4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0.78%</w:t>
            </w:r>
          </w:p>
        </w:tc>
        <w:tc>
          <w:tcPr>
            <w:tcW w:w="2066" w:type="dxa"/>
            <w:vAlign w:val="center"/>
          </w:tcPr>
          <w:p w14:paraId="2188B4B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0.69%</w:t>
            </w:r>
          </w:p>
        </w:tc>
      </w:tr>
      <w:tr w14:paraId="4F8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DA398B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1833" w:type="dxa"/>
            <w:vAlign w:val="center"/>
          </w:tcPr>
          <w:p w14:paraId="7ED53F9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0.76%</w:t>
            </w:r>
          </w:p>
        </w:tc>
        <w:tc>
          <w:tcPr>
            <w:tcW w:w="1767" w:type="dxa"/>
            <w:vAlign w:val="center"/>
          </w:tcPr>
          <w:p w14:paraId="5403C23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0.43%</w:t>
            </w:r>
          </w:p>
        </w:tc>
        <w:tc>
          <w:tcPr>
            <w:tcW w:w="2066" w:type="dxa"/>
            <w:vAlign w:val="center"/>
          </w:tcPr>
          <w:p w14:paraId="1124F07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0.52%</w:t>
            </w:r>
          </w:p>
        </w:tc>
      </w:tr>
      <w:tr w14:paraId="3136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08B53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1833" w:type="dxa"/>
            <w:vAlign w:val="center"/>
          </w:tcPr>
          <w:p w14:paraId="614BB3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1767" w:type="dxa"/>
            <w:vAlign w:val="center"/>
          </w:tcPr>
          <w:p w14:paraId="570477E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2066" w:type="dxa"/>
            <w:vAlign w:val="center"/>
          </w:tcPr>
          <w:p w14:paraId="56846D5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0.32%</w:t>
            </w:r>
          </w:p>
        </w:tc>
      </w:tr>
      <w:tr w14:paraId="20B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42F9BBB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1833" w:type="dxa"/>
            <w:vAlign w:val="center"/>
          </w:tcPr>
          <w:p w14:paraId="537ECF7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1767" w:type="dxa"/>
            <w:vAlign w:val="center"/>
          </w:tcPr>
          <w:p w14:paraId="48AE792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0.09%</w:t>
            </w:r>
          </w:p>
        </w:tc>
        <w:tc>
          <w:tcPr>
            <w:tcW w:w="2066" w:type="dxa"/>
            <w:vAlign w:val="center"/>
          </w:tcPr>
          <w:p w14:paraId="7E4BECD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0.18%</w:t>
            </w:r>
          </w:p>
        </w:tc>
      </w:tr>
      <w:tr w14:paraId="202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2035D04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1833" w:type="dxa"/>
            <w:vAlign w:val="center"/>
          </w:tcPr>
          <w:p w14:paraId="3A9EA3F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1767" w:type="dxa"/>
            <w:vAlign w:val="center"/>
          </w:tcPr>
          <w:p w14:paraId="47AF33D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2066" w:type="dxa"/>
            <w:vAlign w:val="center"/>
          </w:tcPr>
          <w:p w14:paraId="15691C5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r>
      <w:tr w14:paraId="04F7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704C6A7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1000000以上</w:t>
            </w:r>
          </w:p>
        </w:tc>
        <w:tc>
          <w:tcPr>
            <w:tcW w:w="1833" w:type="dxa"/>
            <w:vAlign w:val="center"/>
          </w:tcPr>
          <w:p w14:paraId="0DC1A7F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1767" w:type="dxa"/>
            <w:vAlign w:val="center"/>
          </w:tcPr>
          <w:p w14:paraId="4A9588E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2066" w:type="dxa"/>
            <w:vAlign w:val="center"/>
          </w:tcPr>
          <w:p w14:paraId="504C39B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r>
    </w:tbl>
    <w:p w14:paraId="685413C2">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2.最低收费：当“按标准下浮率收费”计算出的采购代理费低于“最低收费”人民币叁仟元整时，采购代理费按“最低收费”人民币叁仟元整计取。</w:t>
      </w:r>
    </w:p>
    <w:p w14:paraId="3F0DDAD3">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3.浮动收费：若发生国家政策调整等不可抗力因素，代理服务费可进行适当调整，具体金额与代理机构协商确定。</w:t>
      </w:r>
    </w:p>
    <w:p w14:paraId="5C9BC90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服务费包含了采购人委托的招标、采购前期工作、咨询费、采购项目依法依规在相关指定媒体（含报纸）发布招标（采购）公告的刊登费用、专家抽取费用（招标代理机构需自行承担专家抽取费用）、开评标场地使用费、评标（评审）费（包括但不限于评审费、因招标失败多次产生的评审费、进口产品论证、配置技术论证、采购文件论证等费用、因采购人直接申请非招标采购方式须邀请专家对项目作相关评审证明意见所需费用、因招标失败需邀请专家对招标文件评审是否具有不合理条款的论证意见所需费用、评标（评审）期间评标委员会成员的误餐费、交通费、住宿费等需要抽取或邀请专家参与的费用）、处理质疑投诉费、资料费其他等，为完成招标采购全流程以及资料的送审、移交、储存、管理过程中发生的所有费用。因成交代理机构自身原因造成漏报、少报皆由其自行承担责任，报价不可更改。</w:t>
      </w:r>
    </w:p>
    <w:p w14:paraId="388A7B6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采购人不向成交代理机构支付任何费用（代垫费用除外）。在每个代理项目的采购文件中，供应商的报价中应涵盖代理服务费，采购代理机构必须在相应的采购文件中明确注明代理服务费。多次招标后产生中标人，采购代理机构只能收取一次采购代理服务费。若通过重庆市政府采购云平台采购，平台费用由医院承担。</w:t>
      </w:r>
    </w:p>
    <w:p w14:paraId="759702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3" w:name="_Toc17937"/>
      <w:bookmarkStart w:id="34" w:name="_Toc16361"/>
      <w:r>
        <w:rPr>
          <w:rFonts w:hint="eastAsia" w:ascii="微软雅黑" w:hAnsi="微软雅黑" w:eastAsia="微软雅黑" w:cs="微软雅黑"/>
          <w:color w:val="auto"/>
          <w:sz w:val="28"/>
          <w:szCs w:val="28"/>
          <w:highlight w:val="none"/>
        </w:rPr>
        <w:t>四、委派方式</w:t>
      </w:r>
      <w:bookmarkEnd w:id="33"/>
      <w:bookmarkEnd w:id="34"/>
    </w:p>
    <w:p w14:paraId="68C55F72">
      <w:pPr>
        <w:autoSpaceDE w:val="0"/>
        <w:autoSpaceDN w:val="0"/>
        <w:adjustRightInd w:val="0"/>
        <w:snapToGrid w:val="0"/>
        <w:spacing w:line="520" w:lineRule="exact"/>
        <w:ind w:firstLine="480" w:firstLineChars="200"/>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auto"/>
          <w:sz w:val="24"/>
          <w:szCs w:val="24"/>
          <w:highlight w:val="none"/>
        </w:rPr>
        <w:t>采购人根据《重庆市财政局关于印发《重庆市政府集中采购目录及采购限额标准》的通知》渝财规〔2023〕10号（后期若有新规定，按最新规定执行），</w:t>
      </w:r>
      <w:bookmarkStart w:id="35" w:name="_Toc485989042"/>
      <w:r>
        <w:rPr>
          <w:rFonts w:hint="eastAsia" w:ascii="微软雅黑" w:hAnsi="微软雅黑" w:eastAsia="微软雅黑" w:cs="微软雅黑"/>
          <w:color w:val="auto"/>
          <w:sz w:val="24"/>
          <w:szCs w:val="24"/>
          <w:highlight w:val="none"/>
        </w:rPr>
        <w:t>按服务周期</w:t>
      </w:r>
      <w:r>
        <w:rPr>
          <w:rFonts w:hint="eastAsia" w:ascii="微软雅黑" w:hAnsi="微软雅黑" w:eastAsia="微软雅黑" w:cs="微软雅黑"/>
          <w:color w:val="auto"/>
          <w:sz w:val="24"/>
          <w:szCs w:val="24"/>
          <w:highlight w:val="none"/>
          <w:lang w:eastAsia="zh-CN"/>
        </w:rPr>
        <w:t>（自合同签订之日起至2026年6月24日）</w:t>
      </w:r>
      <w:r>
        <w:rPr>
          <w:rFonts w:hint="eastAsia" w:ascii="微软雅黑" w:hAnsi="微软雅黑" w:eastAsia="微软雅黑" w:cs="微软雅黑"/>
          <w:color w:val="auto"/>
          <w:sz w:val="24"/>
          <w:szCs w:val="24"/>
          <w:highlight w:val="none"/>
        </w:rPr>
        <w:t>与成交代理机构签订委托协议。</w:t>
      </w:r>
      <w:r>
        <w:rPr>
          <w:rFonts w:hint="eastAsia" w:ascii="微软雅黑" w:hAnsi="微软雅黑" w:eastAsia="微软雅黑" w:cs="微软雅黑"/>
          <w:color w:val="0000FF"/>
          <w:sz w:val="24"/>
          <w:szCs w:val="24"/>
          <w:highlight w:val="none"/>
          <w:lang w:val="en-US" w:eastAsia="zh-CN"/>
        </w:rPr>
        <w:t>因</w:t>
      </w:r>
      <w:r>
        <w:rPr>
          <w:rFonts w:hint="eastAsia" w:ascii="微软雅黑" w:hAnsi="微软雅黑" w:eastAsia="微软雅黑" w:cs="微软雅黑"/>
          <w:color w:val="0000FF"/>
          <w:sz w:val="24"/>
          <w:szCs w:val="24"/>
          <w:highlight w:val="none"/>
        </w:rPr>
        <w:t>本次采购为补充采购，</w:t>
      </w:r>
      <w:r>
        <w:rPr>
          <w:rFonts w:hint="eastAsia" w:ascii="微软雅黑" w:hAnsi="微软雅黑" w:eastAsia="微软雅黑" w:cs="微软雅黑"/>
          <w:color w:val="0000FF"/>
          <w:sz w:val="24"/>
          <w:szCs w:val="24"/>
          <w:highlight w:val="none"/>
          <w:lang w:val="en-US" w:eastAsia="zh-CN"/>
        </w:rPr>
        <w:t>本次</w:t>
      </w:r>
      <w:r>
        <w:rPr>
          <w:rFonts w:hint="eastAsia" w:ascii="微软雅黑" w:hAnsi="微软雅黑" w:eastAsia="微软雅黑" w:cs="微软雅黑"/>
          <w:color w:val="0000FF"/>
          <w:sz w:val="24"/>
          <w:szCs w:val="24"/>
          <w:highlight w:val="none"/>
        </w:rPr>
        <w:t>中标</w:t>
      </w:r>
      <w:r>
        <w:rPr>
          <w:rFonts w:hint="eastAsia" w:ascii="微软雅黑" w:hAnsi="微软雅黑" w:eastAsia="微软雅黑" w:cs="微软雅黑"/>
          <w:color w:val="0000FF"/>
          <w:sz w:val="24"/>
          <w:szCs w:val="24"/>
          <w:highlight w:val="none"/>
          <w:lang w:val="en-US" w:eastAsia="zh-CN"/>
        </w:rPr>
        <w:t>的</w:t>
      </w:r>
      <w:r>
        <w:rPr>
          <w:rFonts w:hint="eastAsia" w:ascii="微软雅黑" w:hAnsi="微软雅黑" w:eastAsia="微软雅黑" w:cs="微软雅黑"/>
          <w:color w:val="0000FF"/>
          <w:sz w:val="24"/>
          <w:szCs w:val="24"/>
          <w:highlight w:val="none"/>
        </w:rPr>
        <w:t>代理公司将和医院已有代理公司采取顺序轮候</w:t>
      </w:r>
      <w:r>
        <w:rPr>
          <w:rFonts w:hint="eastAsia" w:ascii="微软雅黑" w:hAnsi="微软雅黑" w:eastAsia="微软雅黑" w:cs="微软雅黑"/>
          <w:color w:val="0000FF"/>
          <w:sz w:val="24"/>
          <w:szCs w:val="24"/>
          <w:highlight w:val="none"/>
          <w:lang w:val="en-US" w:eastAsia="zh-CN"/>
        </w:rPr>
        <w:t>开展委托事项</w:t>
      </w:r>
      <w:r>
        <w:rPr>
          <w:rFonts w:hint="eastAsia" w:ascii="微软雅黑" w:hAnsi="微软雅黑" w:eastAsia="微软雅黑" w:cs="微软雅黑"/>
          <w:color w:val="0000FF"/>
          <w:sz w:val="24"/>
          <w:szCs w:val="24"/>
          <w:highlight w:val="none"/>
          <w:lang w:eastAsia="zh-CN"/>
        </w:rPr>
        <w:t>（</w:t>
      </w:r>
      <w:r>
        <w:rPr>
          <w:rFonts w:hint="eastAsia" w:ascii="微软雅黑" w:hAnsi="微软雅黑" w:eastAsia="微软雅黑" w:cs="微软雅黑"/>
          <w:color w:val="0000FF"/>
          <w:sz w:val="24"/>
          <w:szCs w:val="24"/>
          <w:highlight w:val="none"/>
          <w:lang w:val="en-US" w:eastAsia="zh-CN"/>
        </w:rPr>
        <w:t>已与医院签约的代理公司排序在先</w:t>
      </w:r>
      <w:r>
        <w:rPr>
          <w:rFonts w:hint="eastAsia" w:ascii="微软雅黑" w:hAnsi="微软雅黑" w:eastAsia="微软雅黑" w:cs="微软雅黑"/>
          <w:color w:val="0000FF"/>
          <w:sz w:val="24"/>
          <w:szCs w:val="24"/>
          <w:highlight w:val="none"/>
          <w:lang w:eastAsia="zh-CN"/>
        </w:rPr>
        <w:t>）。</w:t>
      </w:r>
    </w:p>
    <w:p w14:paraId="08BA741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6" w:name="_Toc5847"/>
      <w:bookmarkStart w:id="37" w:name="_Toc9288"/>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五、</w:t>
      </w:r>
      <w:bookmarkStart w:id="38" w:name="_Toc117174820"/>
      <w:r>
        <w:rPr>
          <w:rFonts w:hint="eastAsia" w:ascii="微软雅黑" w:hAnsi="微软雅黑" w:eastAsia="微软雅黑" w:cs="微软雅黑"/>
          <w:color w:val="auto"/>
          <w:sz w:val="28"/>
          <w:szCs w:val="28"/>
          <w:highlight w:val="none"/>
        </w:rPr>
        <w:t>考核管理</w:t>
      </w:r>
      <w:bookmarkEnd w:id="36"/>
      <w:bookmarkEnd w:id="37"/>
      <w:bookmarkEnd w:id="38"/>
    </w:p>
    <w:p w14:paraId="7857C395">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（一）采购人将制定相应的考核办法，考核频率为按项目对招标代理机构进行考核评估。服务期内，采购人有权对考核办法、考核频次进行调整。</w:t>
      </w:r>
    </w:p>
    <w:p w14:paraId="2D90763D">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（二）有下列情况之一的，经调查核实后采购人有权解除合同，并保留向行政主管部门投诉的权利：</w:t>
      </w:r>
    </w:p>
    <w:p w14:paraId="4F333337">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1.在相关部门查询系统中存在不良记录的；</w:t>
      </w:r>
    </w:p>
    <w:p w14:paraId="11A1D8F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2.拒绝承担委托人的代理业务，或者擅自将受托项目转委托给第三方承担，或者未经采购人同意，擅自变更项目组成员的；</w:t>
      </w:r>
    </w:p>
    <w:p w14:paraId="77EF357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3.考核超过三次评分为基本合格或一次为不合格的代理机构，采购人有权提交院办公会通过后终止其代理协议；</w:t>
      </w:r>
    </w:p>
    <w:p w14:paraId="2BE7AE9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4.在履约期内因故放弃代理服务累计达两次的；</w:t>
      </w:r>
    </w:p>
    <w:p w14:paraId="3B384406">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5.向他人透露开标评审（评标）信息的行为，导致医院受到质疑、投诉或处罚的；</w:t>
      </w:r>
    </w:p>
    <w:p w14:paraId="768E50DB">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6.违反法律法规和医院规定的招标工作程序、纪律要求的；</w:t>
      </w:r>
    </w:p>
    <w:p w14:paraId="2738AC3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7.其他不按合同履行职责，违反政策规定，造成采购人利益损失的。</w:t>
      </w:r>
    </w:p>
    <w:p w14:paraId="6142815C">
      <w:pPr>
        <w:pStyle w:val="19"/>
        <w:jc w:val="center"/>
        <w:rPr>
          <w:rFonts w:hint="eastAsia" w:ascii="宋体" w:hAnsi="宋体" w:cs="宋体"/>
          <w:color w:val="auto"/>
          <w:sz w:val="24"/>
          <w:szCs w:val="24"/>
          <w:highlight w:val="none"/>
        </w:rPr>
      </w:pPr>
    </w:p>
    <w:p w14:paraId="1E2967C5">
      <w:pPr>
        <w:pStyle w:val="1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代理机构服务质量项目考核表（按采购项目为单位考核）</w:t>
      </w:r>
    </w:p>
    <w:p w14:paraId="58EC82E9">
      <w:pPr>
        <w:rPr>
          <w:color w:val="auto"/>
          <w:sz w:val="24"/>
          <w:szCs w:val="24"/>
          <w:highlight w:val="none"/>
        </w:rPr>
      </w:pPr>
    </w:p>
    <w:tbl>
      <w:tblPr>
        <w:tblStyle w:val="16"/>
        <w:tblW w:w="956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81"/>
        <w:gridCol w:w="891"/>
        <w:gridCol w:w="1394"/>
        <w:gridCol w:w="306"/>
        <w:gridCol w:w="2393"/>
        <w:gridCol w:w="1468"/>
        <w:gridCol w:w="1424"/>
      </w:tblGrid>
      <w:tr w14:paraId="2E42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7640945B">
            <w:pPr>
              <w:widowControl/>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 xml:space="preserve">项目名称 </w:t>
            </w:r>
          </w:p>
        </w:tc>
        <w:tc>
          <w:tcPr>
            <w:tcW w:w="6985" w:type="dxa"/>
            <w:gridSpan w:val="5"/>
          </w:tcPr>
          <w:p w14:paraId="00169C17">
            <w:pPr>
              <w:pStyle w:val="19"/>
              <w:rPr>
                <w:rFonts w:hint="eastAsia" w:ascii="宋体" w:hAnsi="宋体" w:cs="宋体"/>
                <w:color w:val="auto"/>
                <w:kern w:val="2"/>
                <w:sz w:val="24"/>
                <w:szCs w:val="24"/>
                <w:highlight w:val="none"/>
              </w:rPr>
            </w:pPr>
          </w:p>
        </w:tc>
      </w:tr>
      <w:tr w14:paraId="1F8B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31B89675">
            <w:pPr>
              <w:pStyle w:val="19"/>
              <w:ind w:left="0"/>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bidi="ar"/>
              </w:rPr>
              <w:t>代理机构</w:t>
            </w:r>
            <w:r>
              <w:rPr>
                <w:rFonts w:hint="eastAsia" w:ascii="宋体" w:hAnsi="宋体" w:cs="宋体"/>
                <w:b/>
                <w:bCs/>
                <w:color w:val="auto"/>
                <w:kern w:val="2"/>
                <w:sz w:val="24"/>
                <w:szCs w:val="24"/>
                <w:highlight w:val="none"/>
                <w:lang w:val="en-US" w:eastAsia="zh-CN" w:bidi="ar"/>
              </w:rPr>
              <w:t>简称</w:t>
            </w:r>
          </w:p>
        </w:tc>
        <w:tc>
          <w:tcPr>
            <w:tcW w:w="6985" w:type="dxa"/>
            <w:gridSpan w:val="5"/>
          </w:tcPr>
          <w:p w14:paraId="718C429E">
            <w:pPr>
              <w:pStyle w:val="19"/>
              <w:rPr>
                <w:rFonts w:hint="eastAsia" w:ascii="宋体" w:hAnsi="宋体" w:cs="宋体"/>
                <w:color w:val="auto"/>
                <w:kern w:val="2"/>
                <w:sz w:val="24"/>
                <w:szCs w:val="24"/>
                <w:highlight w:val="none"/>
              </w:rPr>
            </w:pPr>
          </w:p>
        </w:tc>
      </w:tr>
      <w:tr w14:paraId="0A94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restart"/>
          </w:tcPr>
          <w:p w14:paraId="1CA5D02B">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招标活动基本信息</w:t>
            </w:r>
          </w:p>
        </w:tc>
        <w:tc>
          <w:tcPr>
            <w:tcW w:w="1700" w:type="dxa"/>
            <w:gridSpan w:val="2"/>
          </w:tcPr>
          <w:p w14:paraId="08DA1DD3">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公告媒体 </w:t>
            </w:r>
          </w:p>
        </w:tc>
        <w:tc>
          <w:tcPr>
            <w:tcW w:w="5285" w:type="dxa"/>
            <w:gridSpan w:val="3"/>
          </w:tcPr>
          <w:p w14:paraId="0E34D1C2">
            <w:pPr>
              <w:pStyle w:val="19"/>
              <w:rPr>
                <w:rFonts w:hint="eastAsia" w:ascii="宋体" w:hAnsi="宋体" w:cs="宋体"/>
                <w:color w:val="auto"/>
                <w:kern w:val="2"/>
                <w:sz w:val="24"/>
                <w:szCs w:val="24"/>
                <w:highlight w:val="none"/>
              </w:rPr>
            </w:pPr>
          </w:p>
        </w:tc>
      </w:tr>
      <w:tr w14:paraId="5F9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continue"/>
          </w:tcPr>
          <w:p w14:paraId="437412C3">
            <w:pPr>
              <w:pStyle w:val="19"/>
              <w:ind w:left="0"/>
              <w:rPr>
                <w:rFonts w:hint="eastAsia" w:ascii="宋体" w:hAnsi="宋体" w:cs="宋体"/>
                <w:color w:val="auto"/>
                <w:kern w:val="2"/>
                <w:sz w:val="24"/>
                <w:szCs w:val="24"/>
                <w:highlight w:val="none"/>
              </w:rPr>
            </w:pPr>
          </w:p>
        </w:tc>
        <w:tc>
          <w:tcPr>
            <w:tcW w:w="1700" w:type="dxa"/>
            <w:gridSpan w:val="2"/>
          </w:tcPr>
          <w:p w14:paraId="73535709">
            <w:pPr>
              <w:pStyle w:val="19"/>
              <w:ind w:left="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开评标时间</w:t>
            </w:r>
          </w:p>
        </w:tc>
        <w:tc>
          <w:tcPr>
            <w:tcW w:w="5285" w:type="dxa"/>
            <w:gridSpan w:val="3"/>
          </w:tcPr>
          <w:p w14:paraId="540E2AC3">
            <w:pPr>
              <w:pStyle w:val="19"/>
              <w:rPr>
                <w:rFonts w:hint="eastAsia" w:ascii="宋体" w:hAnsi="宋体" w:cs="宋体"/>
                <w:color w:val="auto"/>
                <w:kern w:val="2"/>
                <w:sz w:val="24"/>
                <w:szCs w:val="24"/>
                <w:highlight w:val="none"/>
              </w:rPr>
            </w:pPr>
          </w:p>
        </w:tc>
      </w:tr>
      <w:tr w14:paraId="5D8E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1" w:type="dxa"/>
            <w:gridSpan w:val="3"/>
            <w:vMerge w:val="continue"/>
          </w:tcPr>
          <w:p w14:paraId="197A407C">
            <w:pPr>
              <w:widowControl/>
              <w:jc w:val="left"/>
              <w:rPr>
                <w:rFonts w:hint="eastAsia" w:ascii="宋体" w:hAnsi="宋体" w:cs="宋体"/>
                <w:color w:val="auto"/>
                <w:sz w:val="24"/>
                <w:szCs w:val="24"/>
                <w:highlight w:val="none"/>
              </w:rPr>
            </w:pPr>
          </w:p>
        </w:tc>
        <w:tc>
          <w:tcPr>
            <w:tcW w:w="1700" w:type="dxa"/>
            <w:gridSpan w:val="2"/>
          </w:tcPr>
          <w:p w14:paraId="1545C029">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开评标地点</w:t>
            </w:r>
          </w:p>
        </w:tc>
        <w:tc>
          <w:tcPr>
            <w:tcW w:w="5285" w:type="dxa"/>
            <w:gridSpan w:val="3"/>
          </w:tcPr>
          <w:p w14:paraId="421E0509">
            <w:pPr>
              <w:pStyle w:val="19"/>
              <w:rPr>
                <w:rFonts w:hint="eastAsia" w:ascii="宋体" w:hAnsi="宋体" w:cs="宋体"/>
                <w:color w:val="auto"/>
                <w:kern w:val="2"/>
                <w:sz w:val="24"/>
                <w:szCs w:val="24"/>
                <w:highlight w:val="none"/>
              </w:rPr>
            </w:pPr>
          </w:p>
        </w:tc>
      </w:tr>
      <w:tr w14:paraId="5AE5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95C68A">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序号</w:t>
            </w:r>
          </w:p>
        </w:tc>
        <w:tc>
          <w:tcPr>
            <w:tcW w:w="5965" w:type="dxa"/>
            <w:gridSpan w:val="5"/>
          </w:tcPr>
          <w:p w14:paraId="158F55E2">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考核内容</w:t>
            </w:r>
          </w:p>
        </w:tc>
        <w:tc>
          <w:tcPr>
            <w:tcW w:w="1468" w:type="dxa"/>
          </w:tcPr>
          <w:p w14:paraId="57E78DE0">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扣分标准</w:t>
            </w:r>
          </w:p>
        </w:tc>
        <w:tc>
          <w:tcPr>
            <w:tcW w:w="1424" w:type="dxa"/>
          </w:tcPr>
          <w:p w14:paraId="7DE5F528">
            <w:pPr>
              <w:widowControl/>
              <w:jc w:val="left"/>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bidi="ar"/>
              </w:rPr>
              <w:t>扣分</w:t>
            </w:r>
            <w:r>
              <w:rPr>
                <w:rFonts w:hint="eastAsia" w:ascii="宋体" w:hAnsi="宋体" w:cs="宋体"/>
                <w:b/>
                <w:bCs/>
                <w:color w:val="auto"/>
                <w:kern w:val="0"/>
                <w:sz w:val="24"/>
                <w:szCs w:val="24"/>
                <w:highlight w:val="none"/>
                <w:lang w:val="en-US" w:eastAsia="zh-CN" w:bidi="ar"/>
              </w:rPr>
              <w:t>及</w:t>
            </w:r>
            <w:r>
              <w:rPr>
                <w:rFonts w:hint="eastAsia" w:ascii="宋体" w:hAnsi="宋体" w:cs="宋体"/>
                <w:b/>
                <w:bCs/>
                <w:color w:val="auto"/>
                <w:kern w:val="0"/>
                <w:sz w:val="24"/>
                <w:szCs w:val="24"/>
                <w:highlight w:val="none"/>
                <w:lang w:bidi="ar"/>
              </w:rPr>
              <w:t>情况</w:t>
            </w:r>
            <w:r>
              <w:rPr>
                <w:rFonts w:hint="eastAsia" w:ascii="宋体" w:hAnsi="宋体" w:cs="宋体"/>
                <w:b/>
                <w:bCs/>
                <w:color w:val="auto"/>
                <w:kern w:val="0"/>
                <w:sz w:val="24"/>
                <w:szCs w:val="24"/>
                <w:highlight w:val="none"/>
                <w:lang w:val="en-US" w:eastAsia="zh-CN" w:bidi="ar"/>
              </w:rPr>
              <w:t>简述</w:t>
            </w:r>
          </w:p>
        </w:tc>
      </w:tr>
      <w:tr w14:paraId="4868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586E93A7">
            <w:pP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981" w:type="dxa"/>
            <w:vMerge w:val="restart"/>
            <w:vAlign w:val="center"/>
          </w:tcPr>
          <w:p w14:paraId="7A94483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基本行为规范要求及职业道德情况</w:t>
            </w:r>
          </w:p>
        </w:tc>
        <w:tc>
          <w:tcPr>
            <w:tcW w:w="4984" w:type="dxa"/>
            <w:gridSpan w:val="4"/>
            <w:vAlign w:val="center"/>
          </w:tcPr>
          <w:p w14:paraId="7C20FF9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开评标地点干净整洁，工作人员着装整洁，语言文明礼貌，不迟到早退，服务态度积极主动</w:t>
            </w:r>
          </w:p>
        </w:tc>
        <w:tc>
          <w:tcPr>
            <w:tcW w:w="1468" w:type="dxa"/>
          </w:tcPr>
          <w:p w14:paraId="7BA238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522BB93F">
            <w:pPr>
              <w:widowControl/>
              <w:jc w:val="left"/>
              <w:rPr>
                <w:rFonts w:hint="eastAsia" w:ascii="宋体" w:hAnsi="宋体" w:cs="宋体"/>
                <w:b/>
                <w:bCs/>
                <w:color w:val="auto"/>
                <w:kern w:val="0"/>
                <w:sz w:val="24"/>
                <w:szCs w:val="24"/>
                <w:highlight w:val="none"/>
                <w:lang w:bidi="ar"/>
              </w:rPr>
            </w:pPr>
          </w:p>
        </w:tc>
      </w:tr>
      <w:tr w14:paraId="05C4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9" w:type="dxa"/>
            <w:vMerge w:val="continue"/>
            <w:vAlign w:val="center"/>
          </w:tcPr>
          <w:p w14:paraId="77629C37">
            <w:pPr>
              <w:rPr>
                <w:rFonts w:hint="eastAsia" w:ascii="宋体" w:hAnsi="宋体" w:cs="宋体"/>
                <w:color w:val="auto"/>
                <w:kern w:val="0"/>
                <w:sz w:val="24"/>
                <w:szCs w:val="24"/>
                <w:highlight w:val="none"/>
                <w:lang w:bidi="ar"/>
              </w:rPr>
            </w:pPr>
          </w:p>
        </w:tc>
        <w:tc>
          <w:tcPr>
            <w:tcW w:w="981" w:type="dxa"/>
            <w:vMerge w:val="continue"/>
            <w:vAlign w:val="center"/>
          </w:tcPr>
          <w:p w14:paraId="5E053E6F">
            <w:pPr>
              <w:widowControl/>
              <w:rPr>
                <w:rFonts w:hint="eastAsia" w:ascii="宋体" w:hAnsi="宋体" w:cs="宋体"/>
                <w:color w:val="auto"/>
                <w:kern w:val="0"/>
                <w:sz w:val="24"/>
                <w:szCs w:val="24"/>
                <w:highlight w:val="none"/>
                <w:lang w:bidi="ar"/>
              </w:rPr>
            </w:pPr>
          </w:p>
        </w:tc>
        <w:tc>
          <w:tcPr>
            <w:tcW w:w="4984" w:type="dxa"/>
            <w:gridSpan w:val="4"/>
            <w:vAlign w:val="center"/>
          </w:tcPr>
          <w:p w14:paraId="27F4DB3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及时完成采购人交办的任务，不随意拖延推脱。</w:t>
            </w:r>
          </w:p>
        </w:tc>
        <w:tc>
          <w:tcPr>
            <w:tcW w:w="1468" w:type="dxa"/>
          </w:tcPr>
          <w:p w14:paraId="3727C2D9">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3F3DD20F">
            <w:pPr>
              <w:widowControl/>
              <w:jc w:val="left"/>
              <w:rPr>
                <w:rFonts w:hint="eastAsia" w:ascii="宋体" w:hAnsi="宋体" w:cs="宋体"/>
                <w:b/>
                <w:bCs/>
                <w:color w:val="auto"/>
                <w:kern w:val="0"/>
                <w:sz w:val="24"/>
                <w:szCs w:val="24"/>
                <w:highlight w:val="none"/>
                <w:lang w:bidi="ar"/>
              </w:rPr>
            </w:pPr>
          </w:p>
        </w:tc>
      </w:tr>
      <w:tr w14:paraId="7EC1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56E483C">
            <w:pPr>
              <w:rPr>
                <w:rFonts w:hint="eastAsia" w:ascii="宋体" w:hAnsi="宋体" w:cs="宋体"/>
                <w:color w:val="auto"/>
                <w:kern w:val="0"/>
                <w:sz w:val="24"/>
                <w:szCs w:val="24"/>
                <w:highlight w:val="none"/>
                <w:lang w:bidi="ar"/>
              </w:rPr>
            </w:pPr>
          </w:p>
        </w:tc>
        <w:tc>
          <w:tcPr>
            <w:tcW w:w="981" w:type="dxa"/>
            <w:vMerge w:val="continue"/>
            <w:vAlign w:val="center"/>
          </w:tcPr>
          <w:p w14:paraId="68B35A00">
            <w:pPr>
              <w:widowControl/>
              <w:rPr>
                <w:rFonts w:hint="eastAsia" w:ascii="宋体" w:hAnsi="宋体" w:cs="宋体"/>
                <w:color w:val="auto"/>
                <w:kern w:val="0"/>
                <w:sz w:val="24"/>
                <w:szCs w:val="24"/>
                <w:highlight w:val="none"/>
                <w:lang w:bidi="ar"/>
              </w:rPr>
            </w:pPr>
          </w:p>
        </w:tc>
        <w:tc>
          <w:tcPr>
            <w:tcW w:w="4984" w:type="dxa"/>
            <w:gridSpan w:val="4"/>
            <w:vAlign w:val="center"/>
          </w:tcPr>
          <w:p w14:paraId="2CCFFEA2">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招标工作人员不遵守纪律规范要求，有影响评审（评标）委员会成员职业道德的行为</w:t>
            </w:r>
          </w:p>
        </w:tc>
        <w:tc>
          <w:tcPr>
            <w:tcW w:w="1468" w:type="dxa"/>
          </w:tcPr>
          <w:p w14:paraId="4B65D93E">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ED3EC81">
            <w:pPr>
              <w:widowControl/>
              <w:jc w:val="left"/>
              <w:rPr>
                <w:rFonts w:hint="eastAsia" w:ascii="宋体" w:hAnsi="宋体" w:cs="宋体"/>
                <w:b/>
                <w:bCs/>
                <w:color w:val="auto"/>
                <w:kern w:val="0"/>
                <w:sz w:val="24"/>
                <w:szCs w:val="24"/>
                <w:highlight w:val="none"/>
                <w:lang w:bidi="ar"/>
              </w:rPr>
            </w:pPr>
          </w:p>
        </w:tc>
      </w:tr>
      <w:tr w14:paraId="354C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1230D5C">
            <w:pPr>
              <w:rPr>
                <w:rFonts w:hint="eastAsia" w:ascii="宋体" w:hAnsi="宋体" w:cs="宋体"/>
                <w:color w:val="auto"/>
                <w:kern w:val="0"/>
                <w:sz w:val="24"/>
                <w:szCs w:val="24"/>
                <w:highlight w:val="none"/>
                <w:lang w:bidi="ar"/>
              </w:rPr>
            </w:pPr>
          </w:p>
        </w:tc>
        <w:tc>
          <w:tcPr>
            <w:tcW w:w="981" w:type="dxa"/>
            <w:vMerge w:val="continue"/>
            <w:vAlign w:val="center"/>
          </w:tcPr>
          <w:p w14:paraId="31320A07">
            <w:pPr>
              <w:widowControl/>
              <w:rPr>
                <w:rFonts w:hint="eastAsia" w:ascii="宋体" w:hAnsi="宋体" w:cs="宋体"/>
                <w:color w:val="auto"/>
                <w:kern w:val="0"/>
                <w:sz w:val="24"/>
                <w:szCs w:val="24"/>
                <w:highlight w:val="none"/>
                <w:lang w:bidi="ar"/>
              </w:rPr>
            </w:pPr>
          </w:p>
        </w:tc>
        <w:tc>
          <w:tcPr>
            <w:tcW w:w="4984" w:type="dxa"/>
            <w:gridSpan w:val="4"/>
            <w:vAlign w:val="center"/>
          </w:tcPr>
          <w:p w14:paraId="777D3E9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全力维护采购人的合法权益</w:t>
            </w:r>
          </w:p>
        </w:tc>
        <w:tc>
          <w:tcPr>
            <w:tcW w:w="1468" w:type="dxa"/>
          </w:tcPr>
          <w:p w14:paraId="03D3869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发现一次扣10分</w:t>
            </w:r>
          </w:p>
        </w:tc>
        <w:tc>
          <w:tcPr>
            <w:tcW w:w="1424" w:type="dxa"/>
          </w:tcPr>
          <w:p w14:paraId="4CAC92CF">
            <w:pPr>
              <w:widowControl/>
              <w:jc w:val="left"/>
              <w:rPr>
                <w:rFonts w:hint="eastAsia" w:ascii="宋体" w:hAnsi="宋体" w:cs="宋体"/>
                <w:b/>
                <w:bCs/>
                <w:color w:val="auto"/>
                <w:kern w:val="0"/>
                <w:sz w:val="24"/>
                <w:szCs w:val="24"/>
                <w:highlight w:val="none"/>
                <w:lang w:bidi="ar"/>
              </w:rPr>
            </w:pPr>
          </w:p>
        </w:tc>
      </w:tr>
      <w:tr w14:paraId="6D4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BE66C0">
            <w:pP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981" w:type="dxa"/>
            <w:vMerge w:val="restart"/>
            <w:vAlign w:val="center"/>
          </w:tcPr>
          <w:p w14:paraId="4ADFABB7">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文件编制情况</w:t>
            </w:r>
          </w:p>
        </w:tc>
        <w:tc>
          <w:tcPr>
            <w:tcW w:w="4984" w:type="dxa"/>
            <w:gridSpan w:val="4"/>
            <w:vAlign w:val="center"/>
          </w:tcPr>
          <w:p w14:paraId="09DCA2CF">
            <w:pPr>
              <w:widowControl/>
              <w:rPr>
                <w:rFonts w:hint="default" w:ascii="宋体" w:hAnsi="宋体" w:eastAsia="宋体" w:cs="宋体"/>
                <w:b/>
                <w:bCs/>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文件编制使用最新范本</w:t>
            </w:r>
            <w:r>
              <w:rPr>
                <w:rFonts w:hint="eastAsia" w:ascii="宋体" w:hAnsi="宋体" w:cs="宋体"/>
                <w:color w:val="auto"/>
                <w:kern w:val="0"/>
                <w:sz w:val="24"/>
                <w:szCs w:val="24"/>
                <w:highlight w:val="none"/>
                <w:lang w:val="en-US" w:eastAsia="zh-CN" w:bidi="ar"/>
              </w:rPr>
              <w:t>及最新条款</w:t>
            </w:r>
          </w:p>
        </w:tc>
        <w:tc>
          <w:tcPr>
            <w:tcW w:w="1468" w:type="dxa"/>
          </w:tcPr>
          <w:p w14:paraId="28E875F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F84B7F">
            <w:pPr>
              <w:widowControl/>
              <w:jc w:val="left"/>
              <w:rPr>
                <w:rFonts w:hint="eastAsia" w:ascii="宋体" w:hAnsi="宋体" w:cs="宋体"/>
                <w:b/>
                <w:bCs/>
                <w:color w:val="auto"/>
                <w:kern w:val="0"/>
                <w:sz w:val="24"/>
                <w:szCs w:val="24"/>
                <w:highlight w:val="none"/>
                <w:lang w:bidi="ar"/>
              </w:rPr>
            </w:pPr>
          </w:p>
        </w:tc>
      </w:tr>
      <w:tr w14:paraId="604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78F109D">
            <w:pPr>
              <w:rPr>
                <w:rFonts w:hint="eastAsia" w:ascii="宋体" w:hAnsi="宋体" w:cs="宋体"/>
                <w:color w:val="auto"/>
                <w:sz w:val="24"/>
                <w:szCs w:val="24"/>
                <w:highlight w:val="none"/>
              </w:rPr>
            </w:pPr>
          </w:p>
        </w:tc>
        <w:tc>
          <w:tcPr>
            <w:tcW w:w="981" w:type="dxa"/>
            <w:vMerge w:val="continue"/>
            <w:vAlign w:val="center"/>
          </w:tcPr>
          <w:p w14:paraId="79E2D9A1">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4EDF2F6E">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按时限要求编制/修改采购人所需资料文件</w:t>
            </w:r>
          </w:p>
        </w:tc>
        <w:tc>
          <w:tcPr>
            <w:tcW w:w="1468" w:type="dxa"/>
          </w:tcPr>
          <w:p w14:paraId="0FF36D68">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58DF5162">
            <w:pPr>
              <w:widowControl/>
              <w:jc w:val="left"/>
              <w:rPr>
                <w:rFonts w:hint="eastAsia" w:ascii="宋体" w:hAnsi="宋体" w:cs="宋体"/>
                <w:b/>
                <w:bCs/>
                <w:color w:val="auto"/>
                <w:kern w:val="0"/>
                <w:sz w:val="24"/>
                <w:szCs w:val="24"/>
                <w:highlight w:val="none"/>
                <w:lang w:bidi="ar"/>
              </w:rPr>
            </w:pPr>
          </w:p>
        </w:tc>
      </w:tr>
      <w:tr w14:paraId="281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E6A9138">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D041AF4">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950CF9D">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编制文件认真、细致，内容完整齐全，招标范围明确，无缺、漏项，技术、经济条款清晰</w:t>
            </w:r>
          </w:p>
        </w:tc>
        <w:tc>
          <w:tcPr>
            <w:tcW w:w="1468" w:type="dxa"/>
          </w:tcPr>
          <w:p w14:paraId="7A3F912F">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1A3ADACC">
            <w:pPr>
              <w:widowControl/>
              <w:jc w:val="left"/>
              <w:rPr>
                <w:rFonts w:hint="eastAsia" w:ascii="宋体" w:hAnsi="宋体" w:cs="宋体"/>
                <w:b/>
                <w:bCs/>
                <w:color w:val="auto"/>
                <w:kern w:val="0"/>
                <w:sz w:val="24"/>
                <w:szCs w:val="24"/>
                <w:highlight w:val="none"/>
                <w:lang w:bidi="ar"/>
              </w:rPr>
            </w:pPr>
          </w:p>
        </w:tc>
      </w:tr>
      <w:tr w14:paraId="73B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2DB7EB9">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77E581DD">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70DB595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充分了解掌握采购项目需求情况，紧贴项目实际拟制各类采购文书</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严禁随意将以往的采购文件复制剪贴，糊弄应付，甚至错漏百出</w:t>
            </w:r>
          </w:p>
        </w:tc>
        <w:tc>
          <w:tcPr>
            <w:tcW w:w="1468" w:type="dxa"/>
          </w:tcPr>
          <w:p w14:paraId="62CCB05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B571CD5">
            <w:pPr>
              <w:widowControl/>
              <w:jc w:val="left"/>
              <w:rPr>
                <w:rFonts w:hint="eastAsia" w:ascii="宋体" w:hAnsi="宋体" w:cs="宋体"/>
                <w:b/>
                <w:bCs/>
                <w:color w:val="auto"/>
                <w:kern w:val="0"/>
                <w:sz w:val="24"/>
                <w:szCs w:val="24"/>
                <w:highlight w:val="none"/>
                <w:lang w:bidi="ar"/>
              </w:rPr>
            </w:pPr>
          </w:p>
        </w:tc>
      </w:tr>
      <w:tr w14:paraId="0BB5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vAlign w:val="center"/>
          </w:tcPr>
          <w:p w14:paraId="1FB7CE3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EBBC037">
            <w:pPr>
              <w:pStyle w:val="19"/>
              <w:ind w:left="0"/>
              <w:rPr>
                <w:rFonts w:hint="eastAsia" w:ascii="宋体" w:hAnsi="宋体" w:cs="宋体"/>
                <w:b/>
                <w:bCs/>
                <w:color w:val="auto"/>
                <w:kern w:val="2"/>
                <w:sz w:val="24"/>
                <w:szCs w:val="24"/>
                <w:highlight w:val="none"/>
                <w:lang w:bidi="ar"/>
              </w:rPr>
            </w:pPr>
          </w:p>
        </w:tc>
        <w:tc>
          <w:tcPr>
            <w:tcW w:w="2285" w:type="dxa"/>
            <w:gridSpan w:val="2"/>
            <w:vMerge w:val="restart"/>
            <w:vAlign w:val="center"/>
          </w:tcPr>
          <w:p w14:paraId="39B2B01A">
            <w:pPr>
              <w:widowControl/>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文件编制内容有明显倾向性，不符合法律法规要求</w:t>
            </w:r>
            <w:r>
              <w:rPr>
                <w:rFonts w:hint="eastAsia" w:ascii="宋体" w:hAnsi="宋体" w:cs="宋体"/>
                <w:color w:val="auto"/>
                <w:kern w:val="0"/>
                <w:sz w:val="24"/>
                <w:szCs w:val="24"/>
                <w:highlight w:val="none"/>
                <w:lang w:val="en-US" w:eastAsia="zh-CN" w:bidi="ar"/>
              </w:rPr>
              <w:t>的</w:t>
            </w:r>
          </w:p>
        </w:tc>
        <w:tc>
          <w:tcPr>
            <w:tcW w:w="2699" w:type="dxa"/>
            <w:gridSpan w:val="2"/>
            <w:vAlign w:val="center"/>
          </w:tcPr>
          <w:p w14:paraId="28EC5799">
            <w:pPr>
              <w:widowControl/>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医院内部</w:t>
            </w:r>
            <w:r>
              <w:rPr>
                <w:rFonts w:hint="eastAsia" w:ascii="宋体" w:hAnsi="宋体" w:cs="宋体"/>
                <w:color w:val="auto"/>
                <w:kern w:val="0"/>
                <w:sz w:val="24"/>
                <w:szCs w:val="24"/>
                <w:highlight w:val="none"/>
                <w:lang w:bidi="ar"/>
              </w:rPr>
              <w:t>发现</w:t>
            </w:r>
            <w:r>
              <w:rPr>
                <w:rFonts w:hint="eastAsia" w:ascii="宋体" w:hAnsi="宋体" w:cs="宋体"/>
                <w:color w:val="auto"/>
                <w:kern w:val="0"/>
                <w:sz w:val="24"/>
                <w:szCs w:val="24"/>
                <w:highlight w:val="none"/>
                <w:lang w:val="en-US" w:eastAsia="zh-CN" w:bidi="ar"/>
              </w:rPr>
              <w:t>的</w:t>
            </w:r>
          </w:p>
        </w:tc>
        <w:tc>
          <w:tcPr>
            <w:tcW w:w="1468" w:type="dxa"/>
          </w:tcPr>
          <w:p w14:paraId="759C903D">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0分</w:t>
            </w:r>
          </w:p>
        </w:tc>
        <w:tc>
          <w:tcPr>
            <w:tcW w:w="1424" w:type="dxa"/>
          </w:tcPr>
          <w:p w14:paraId="603C1E1F">
            <w:pPr>
              <w:widowControl/>
              <w:jc w:val="left"/>
              <w:rPr>
                <w:rFonts w:hint="eastAsia" w:ascii="宋体" w:hAnsi="宋体" w:cs="宋体"/>
                <w:b/>
                <w:bCs/>
                <w:color w:val="auto"/>
                <w:kern w:val="0"/>
                <w:sz w:val="24"/>
                <w:szCs w:val="24"/>
                <w:highlight w:val="none"/>
                <w:lang w:bidi="ar"/>
              </w:rPr>
            </w:pPr>
          </w:p>
        </w:tc>
      </w:tr>
      <w:tr w14:paraId="46B5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9" w:type="dxa"/>
            <w:vMerge w:val="continue"/>
            <w:vAlign w:val="center"/>
          </w:tcPr>
          <w:p w14:paraId="4A7854C0">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DB73B32">
            <w:pPr>
              <w:pStyle w:val="19"/>
              <w:ind w:left="0"/>
              <w:rPr>
                <w:rFonts w:hint="eastAsia" w:ascii="宋体" w:hAnsi="宋体" w:cs="宋体"/>
                <w:b/>
                <w:bCs/>
                <w:color w:val="auto"/>
                <w:kern w:val="2"/>
                <w:sz w:val="24"/>
                <w:szCs w:val="24"/>
                <w:highlight w:val="none"/>
                <w:lang w:bidi="ar"/>
              </w:rPr>
            </w:pPr>
          </w:p>
        </w:tc>
        <w:tc>
          <w:tcPr>
            <w:tcW w:w="2285" w:type="dxa"/>
            <w:gridSpan w:val="2"/>
            <w:vMerge w:val="continue"/>
            <w:vAlign w:val="center"/>
          </w:tcPr>
          <w:p w14:paraId="5FE2BE08">
            <w:pPr>
              <w:widowControl/>
              <w:rPr>
                <w:rFonts w:hint="eastAsia" w:ascii="宋体" w:hAnsi="宋体" w:cs="宋体"/>
                <w:color w:val="auto"/>
                <w:kern w:val="0"/>
                <w:sz w:val="24"/>
                <w:szCs w:val="24"/>
                <w:highlight w:val="none"/>
                <w:lang w:bidi="ar"/>
              </w:rPr>
            </w:pPr>
          </w:p>
        </w:tc>
        <w:tc>
          <w:tcPr>
            <w:tcW w:w="2699" w:type="dxa"/>
            <w:gridSpan w:val="2"/>
            <w:vAlign w:val="center"/>
          </w:tcPr>
          <w:p w14:paraId="2A3467CC">
            <w:pPr>
              <w:widowControl/>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致使医院受到质疑、投诉</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处罚的</w:t>
            </w:r>
          </w:p>
        </w:tc>
        <w:tc>
          <w:tcPr>
            <w:tcW w:w="1468" w:type="dxa"/>
          </w:tcPr>
          <w:p w14:paraId="278F8F07">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1424" w:type="dxa"/>
          </w:tcPr>
          <w:p w14:paraId="68320F8E">
            <w:pPr>
              <w:widowControl/>
              <w:jc w:val="left"/>
              <w:rPr>
                <w:rFonts w:hint="eastAsia" w:ascii="宋体" w:hAnsi="宋体" w:cs="宋体"/>
                <w:b/>
                <w:bCs/>
                <w:color w:val="auto"/>
                <w:kern w:val="0"/>
                <w:sz w:val="24"/>
                <w:szCs w:val="24"/>
                <w:highlight w:val="none"/>
                <w:lang w:bidi="ar"/>
              </w:rPr>
            </w:pPr>
          </w:p>
        </w:tc>
      </w:tr>
      <w:tr w14:paraId="086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Merge w:val="restart"/>
            <w:vAlign w:val="center"/>
          </w:tcPr>
          <w:p w14:paraId="36FEE44D">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3</w:t>
            </w:r>
          </w:p>
        </w:tc>
        <w:tc>
          <w:tcPr>
            <w:tcW w:w="981" w:type="dxa"/>
            <w:vMerge w:val="restart"/>
            <w:vAlign w:val="center"/>
          </w:tcPr>
          <w:p w14:paraId="645649E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组织协调服务情况</w:t>
            </w:r>
          </w:p>
          <w:p w14:paraId="3378CE2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3180AC5">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工作人员配备齐全，准备工作充分，采购前期工作或开评标工作组织有序，记录准确</w:t>
            </w:r>
          </w:p>
        </w:tc>
        <w:tc>
          <w:tcPr>
            <w:tcW w:w="1468" w:type="dxa"/>
            <w:vAlign w:val="top"/>
          </w:tcPr>
          <w:p w14:paraId="5C6272F6">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0680D130">
            <w:pPr>
              <w:widowControl/>
              <w:jc w:val="left"/>
              <w:rPr>
                <w:rFonts w:hint="eastAsia" w:ascii="宋体" w:hAnsi="宋体" w:cs="宋体"/>
                <w:b/>
                <w:bCs/>
                <w:color w:val="auto"/>
                <w:kern w:val="0"/>
                <w:sz w:val="24"/>
                <w:szCs w:val="24"/>
                <w:highlight w:val="none"/>
                <w:lang w:bidi="ar"/>
              </w:rPr>
            </w:pPr>
          </w:p>
          <w:p w14:paraId="6026E650">
            <w:pPr>
              <w:widowControl/>
              <w:jc w:val="left"/>
              <w:rPr>
                <w:rFonts w:hint="eastAsia" w:ascii="宋体" w:hAnsi="宋体" w:cs="宋体"/>
                <w:b/>
                <w:bCs/>
                <w:color w:val="auto"/>
                <w:kern w:val="0"/>
                <w:sz w:val="24"/>
                <w:szCs w:val="24"/>
                <w:highlight w:val="none"/>
                <w:lang w:bidi="ar"/>
              </w:rPr>
            </w:pPr>
          </w:p>
        </w:tc>
      </w:tr>
      <w:tr w14:paraId="040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4589BF7">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73C3BF76">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C16D57A">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开评标工作组织程序合法</w:t>
            </w:r>
          </w:p>
        </w:tc>
        <w:tc>
          <w:tcPr>
            <w:tcW w:w="1468" w:type="dxa"/>
            <w:vAlign w:val="top"/>
          </w:tcPr>
          <w:p w14:paraId="5FF26F9F">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次</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96824F2">
            <w:pPr>
              <w:widowControl/>
              <w:jc w:val="left"/>
              <w:rPr>
                <w:rFonts w:hint="eastAsia" w:ascii="宋体" w:hAnsi="宋体" w:cs="宋体"/>
                <w:b/>
                <w:bCs/>
                <w:color w:val="auto"/>
                <w:kern w:val="0"/>
                <w:sz w:val="24"/>
                <w:szCs w:val="24"/>
                <w:highlight w:val="none"/>
                <w:lang w:bidi="ar"/>
              </w:rPr>
            </w:pPr>
          </w:p>
        </w:tc>
      </w:tr>
      <w:tr w14:paraId="64FD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8DA945">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C96AFC0">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2F7614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更换团队负责人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团队负责人未深度参与代理项目；</w:t>
            </w:r>
            <w:r>
              <w:rPr>
                <w:rFonts w:hint="eastAsia" w:ascii="宋体" w:hAnsi="宋体" w:cs="宋体"/>
                <w:color w:val="auto"/>
                <w:kern w:val="0"/>
                <w:sz w:val="24"/>
                <w:szCs w:val="24"/>
                <w:highlight w:val="none"/>
                <w:lang w:bidi="ar"/>
              </w:rPr>
              <w:t>因故放弃代理服务的</w:t>
            </w:r>
          </w:p>
        </w:tc>
        <w:tc>
          <w:tcPr>
            <w:tcW w:w="1468" w:type="dxa"/>
          </w:tcPr>
          <w:p w14:paraId="25EBC4F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扣20分</w:t>
            </w:r>
          </w:p>
        </w:tc>
        <w:tc>
          <w:tcPr>
            <w:tcW w:w="1424" w:type="dxa"/>
          </w:tcPr>
          <w:p w14:paraId="737061C0">
            <w:pPr>
              <w:widowControl/>
              <w:jc w:val="left"/>
              <w:rPr>
                <w:rFonts w:hint="eastAsia" w:ascii="宋体" w:hAnsi="宋体" w:cs="宋体"/>
                <w:b/>
                <w:bCs/>
                <w:color w:val="auto"/>
                <w:kern w:val="0"/>
                <w:sz w:val="24"/>
                <w:szCs w:val="24"/>
                <w:highlight w:val="none"/>
                <w:lang w:bidi="ar"/>
              </w:rPr>
            </w:pPr>
          </w:p>
        </w:tc>
      </w:tr>
      <w:tr w14:paraId="770A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ADDD073">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451929A">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27E5E80">
            <w:pPr>
              <w:widowControl/>
              <w:jc w:val="left"/>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更换团队其他人员</w:t>
            </w:r>
          </w:p>
        </w:tc>
        <w:tc>
          <w:tcPr>
            <w:tcW w:w="1468" w:type="dxa"/>
          </w:tcPr>
          <w:p w14:paraId="552AFC6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发现一次扣5分</w:t>
            </w:r>
          </w:p>
        </w:tc>
        <w:tc>
          <w:tcPr>
            <w:tcW w:w="1424" w:type="dxa"/>
          </w:tcPr>
          <w:p w14:paraId="75E47179">
            <w:pPr>
              <w:widowControl/>
              <w:jc w:val="left"/>
              <w:rPr>
                <w:rFonts w:hint="eastAsia" w:ascii="宋体" w:hAnsi="宋体" w:cs="宋体"/>
                <w:b/>
                <w:bCs/>
                <w:color w:val="auto"/>
                <w:kern w:val="0"/>
                <w:sz w:val="24"/>
                <w:szCs w:val="24"/>
                <w:highlight w:val="none"/>
                <w:lang w:bidi="ar"/>
              </w:rPr>
            </w:pPr>
          </w:p>
        </w:tc>
      </w:tr>
      <w:tr w14:paraId="4C12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F1CB5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BD96647">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8238C5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尽力满足采购人、评委会成员的合理要求。</w:t>
            </w:r>
          </w:p>
        </w:tc>
        <w:tc>
          <w:tcPr>
            <w:tcW w:w="1468" w:type="dxa"/>
          </w:tcPr>
          <w:p w14:paraId="5A173837">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3E7A602C">
            <w:pPr>
              <w:widowControl/>
              <w:jc w:val="left"/>
              <w:rPr>
                <w:rFonts w:hint="eastAsia" w:ascii="宋体" w:hAnsi="宋体" w:cs="宋体"/>
                <w:b/>
                <w:bCs/>
                <w:color w:val="auto"/>
                <w:kern w:val="0"/>
                <w:sz w:val="24"/>
                <w:szCs w:val="24"/>
                <w:highlight w:val="none"/>
                <w:lang w:bidi="ar"/>
              </w:rPr>
            </w:pPr>
          </w:p>
        </w:tc>
      </w:tr>
      <w:tr w14:paraId="6F4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05EEA58">
            <w:pPr>
              <w:pStyle w:val="19"/>
              <w:ind w:left="0"/>
              <w:rPr>
                <w:rFonts w:hint="eastAsia" w:ascii="宋体" w:hAnsi="宋体" w:cs="宋体"/>
                <w:b/>
                <w:bCs/>
                <w:color w:val="auto"/>
                <w:kern w:val="2"/>
                <w:sz w:val="24"/>
                <w:szCs w:val="24"/>
                <w:highlight w:val="none"/>
                <w:lang w:bidi="ar"/>
              </w:rPr>
            </w:pPr>
            <w:r>
              <w:rPr>
                <w:rFonts w:hint="eastAsia" w:ascii="宋体" w:hAnsi="宋体" w:cs="宋体"/>
                <w:color w:val="auto"/>
                <w:kern w:val="2"/>
                <w:sz w:val="24"/>
                <w:szCs w:val="24"/>
                <w:highlight w:val="none"/>
                <w:lang w:bidi="ar"/>
              </w:rPr>
              <w:t>4</w:t>
            </w:r>
          </w:p>
        </w:tc>
        <w:tc>
          <w:tcPr>
            <w:tcW w:w="981" w:type="dxa"/>
            <w:vMerge w:val="restart"/>
            <w:vAlign w:val="center"/>
          </w:tcPr>
          <w:p w14:paraId="6201D94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釆购活动开展情况</w:t>
            </w:r>
          </w:p>
        </w:tc>
        <w:tc>
          <w:tcPr>
            <w:tcW w:w="4984" w:type="dxa"/>
            <w:gridSpan w:val="4"/>
            <w:vAlign w:val="center"/>
          </w:tcPr>
          <w:p w14:paraId="284BAB5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公告发布程序合法合规，规范按项目类别抽取评标专家</w:t>
            </w:r>
          </w:p>
        </w:tc>
        <w:tc>
          <w:tcPr>
            <w:tcW w:w="1468" w:type="dxa"/>
          </w:tcPr>
          <w:p w14:paraId="61E36FC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6C2DC20B">
            <w:pPr>
              <w:widowControl/>
              <w:jc w:val="left"/>
              <w:rPr>
                <w:rFonts w:hint="eastAsia" w:ascii="宋体" w:hAnsi="宋体" w:cs="宋体"/>
                <w:b/>
                <w:bCs/>
                <w:color w:val="auto"/>
                <w:kern w:val="0"/>
                <w:sz w:val="24"/>
                <w:szCs w:val="24"/>
                <w:highlight w:val="none"/>
                <w:lang w:bidi="ar"/>
              </w:rPr>
            </w:pPr>
          </w:p>
        </w:tc>
      </w:tr>
      <w:tr w14:paraId="32D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19F34C">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258ECC0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6CB52CF2">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核查了采购文件要求核查的信息，准确无误；评标报告填写规范，签字齐全</w:t>
            </w:r>
          </w:p>
        </w:tc>
        <w:tc>
          <w:tcPr>
            <w:tcW w:w="1468" w:type="dxa"/>
          </w:tcPr>
          <w:p w14:paraId="3FABD87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3DEF766">
            <w:pPr>
              <w:widowControl/>
              <w:jc w:val="left"/>
              <w:rPr>
                <w:rFonts w:hint="eastAsia" w:ascii="宋体" w:hAnsi="宋体" w:cs="宋体"/>
                <w:b/>
                <w:bCs/>
                <w:color w:val="auto"/>
                <w:kern w:val="0"/>
                <w:sz w:val="24"/>
                <w:szCs w:val="24"/>
                <w:highlight w:val="none"/>
                <w:lang w:bidi="ar"/>
              </w:rPr>
            </w:pPr>
          </w:p>
        </w:tc>
      </w:tr>
      <w:tr w14:paraId="1B1C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E731B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39D1F65">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FBD24C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投标人质疑投诉处理规范、及时</w:t>
            </w:r>
          </w:p>
        </w:tc>
        <w:tc>
          <w:tcPr>
            <w:tcW w:w="1468" w:type="dxa"/>
          </w:tcPr>
          <w:p w14:paraId="721E19A3">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72FC234D">
            <w:pPr>
              <w:widowControl/>
              <w:jc w:val="left"/>
              <w:rPr>
                <w:rFonts w:hint="eastAsia" w:ascii="宋体" w:hAnsi="宋体" w:cs="宋体"/>
                <w:b/>
                <w:bCs/>
                <w:color w:val="auto"/>
                <w:kern w:val="0"/>
                <w:sz w:val="24"/>
                <w:szCs w:val="24"/>
                <w:highlight w:val="none"/>
                <w:lang w:bidi="ar"/>
              </w:rPr>
            </w:pPr>
          </w:p>
        </w:tc>
      </w:tr>
      <w:tr w14:paraId="060D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F5FB743">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01184B3">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CB186DC">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开评标现场有完善的监控设备，可供医院审计或相关部门随时调取开评标现场录像</w:t>
            </w:r>
          </w:p>
        </w:tc>
        <w:tc>
          <w:tcPr>
            <w:tcW w:w="1468" w:type="dxa"/>
          </w:tcPr>
          <w:p w14:paraId="6DBBC6F1">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47CC4521">
            <w:pPr>
              <w:widowControl/>
              <w:jc w:val="left"/>
              <w:rPr>
                <w:rFonts w:hint="eastAsia" w:ascii="宋体" w:hAnsi="宋体" w:cs="宋体"/>
                <w:b/>
                <w:bCs/>
                <w:color w:val="auto"/>
                <w:kern w:val="0"/>
                <w:sz w:val="24"/>
                <w:szCs w:val="24"/>
                <w:highlight w:val="none"/>
                <w:lang w:bidi="ar"/>
              </w:rPr>
            </w:pPr>
          </w:p>
        </w:tc>
      </w:tr>
      <w:tr w14:paraId="0A3C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D79F99">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5</w:t>
            </w:r>
          </w:p>
        </w:tc>
        <w:tc>
          <w:tcPr>
            <w:tcW w:w="981" w:type="dxa"/>
            <w:vMerge w:val="restart"/>
            <w:vAlign w:val="center"/>
          </w:tcPr>
          <w:p w14:paraId="2903CEB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其他服务情况</w:t>
            </w:r>
          </w:p>
        </w:tc>
        <w:tc>
          <w:tcPr>
            <w:tcW w:w="4984" w:type="dxa"/>
            <w:gridSpan w:val="4"/>
            <w:vAlign w:val="center"/>
          </w:tcPr>
          <w:p w14:paraId="7C07DB73">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在履约过程中，有风险预判能力，</w:t>
            </w:r>
            <w:r>
              <w:rPr>
                <w:rFonts w:hint="eastAsia" w:ascii="宋体" w:hAnsi="宋体" w:cs="宋体"/>
                <w:color w:val="auto"/>
                <w:kern w:val="0"/>
                <w:sz w:val="24"/>
                <w:szCs w:val="24"/>
                <w:highlight w:val="none"/>
                <w:lang w:val="en-US" w:eastAsia="zh-CN" w:bidi="ar"/>
              </w:rPr>
              <w:t>对遇到的问题</w:t>
            </w:r>
            <w:r>
              <w:rPr>
                <w:rFonts w:hint="eastAsia" w:ascii="宋体" w:hAnsi="宋体" w:cs="宋体"/>
                <w:color w:val="auto"/>
                <w:kern w:val="0"/>
                <w:sz w:val="24"/>
                <w:szCs w:val="24"/>
                <w:highlight w:val="none"/>
                <w:lang w:bidi="ar"/>
              </w:rPr>
              <w:t>积极提出并实施了科学的措施</w:t>
            </w:r>
            <w:r>
              <w:rPr>
                <w:rFonts w:hint="eastAsia" w:ascii="宋体" w:hAnsi="宋体" w:cs="宋体"/>
                <w:color w:val="auto"/>
                <w:kern w:val="0"/>
                <w:sz w:val="24"/>
                <w:szCs w:val="24"/>
                <w:highlight w:val="none"/>
                <w:lang w:val="en-US" w:eastAsia="zh-CN" w:bidi="ar"/>
              </w:rPr>
              <w:t>和建议</w:t>
            </w:r>
            <w:r>
              <w:rPr>
                <w:rFonts w:hint="eastAsia" w:ascii="宋体" w:hAnsi="宋体" w:cs="宋体"/>
                <w:color w:val="auto"/>
                <w:kern w:val="0"/>
                <w:sz w:val="24"/>
                <w:szCs w:val="24"/>
                <w:highlight w:val="none"/>
                <w:lang w:bidi="ar"/>
              </w:rPr>
              <w:t>，保证了代理合同的有效实施</w:t>
            </w:r>
          </w:p>
        </w:tc>
        <w:tc>
          <w:tcPr>
            <w:tcW w:w="1468" w:type="dxa"/>
          </w:tcPr>
          <w:p w14:paraId="640072DD">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48E97D83">
            <w:pPr>
              <w:widowControl/>
              <w:jc w:val="left"/>
              <w:rPr>
                <w:rFonts w:hint="eastAsia" w:ascii="宋体" w:hAnsi="宋体" w:cs="宋体"/>
                <w:color w:val="auto"/>
                <w:kern w:val="0"/>
                <w:sz w:val="24"/>
                <w:szCs w:val="24"/>
                <w:highlight w:val="none"/>
                <w:lang w:bidi="ar"/>
              </w:rPr>
            </w:pPr>
          </w:p>
        </w:tc>
      </w:tr>
      <w:tr w14:paraId="7112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C92229C">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208BF123">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A87159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交流工作准备充分、内容全面、回答问题</w:t>
            </w:r>
            <w:r>
              <w:rPr>
                <w:rFonts w:hint="eastAsia" w:ascii="宋体" w:hAnsi="宋体" w:cs="宋体"/>
                <w:color w:val="auto"/>
                <w:kern w:val="0"/>
                <w:sz w:val="24"/>
                <w:szCs w:val="24"/>
                <w:highlight w:val="none"/>
                <w:lang w:val="en-US" w:eastAsia="zh-CN" w:bidi="ar"/>
              </w:rPr>
              <w:t>积极</w:t>
            </w:r>
            <w:r>
              <w:rPr>
                <w:rFonts w:hint="eastAsia" w:ascii="宋体" w:hAnsi="宋体" w:cs="宋体"/>
                <w:color w:val="auto"/>
                <w:kern w:val="0"/>
                <w:sz w:val="24"/>
                <w:szCs w:val="24"/>
                <w:highlight w:val="none"/>
                <w:lang w:bidi="ar"/>
              </w:rPr>
              <w:t>准确</w:t>
            </w:r>
          </w:p>
        </w:tc>
        <w:tc>
          <w:tcPr>
            <w:tcW w:w="1468" w:type="dxa"/>
          </w:tcPr>
          <w:p w14:paraId="46E6C6A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18957C8F">
            <w:pPr>
              <w:widowControl/>
              <w:jc w:val="left"/>
              <w:rPr>
                <w:rFonts w:hint="eastAsia" w:ascii="宋体" w:hAnsi="宋体" w:cs="宋体"/>
                <w:color w:val="auto"/>
                <w:kern w:val="0"/>
                <w:sz w:val="24"/>
                <w:szCs w:val="24"/>
                <w:highlight w:val="none"/>
                <w:lang w:bidi="ar"/>
              </w:rPr>
            </w:pPr>
          </w:p>
        </w:tc>
      </w:tr>
      <w:tr w14:paraId="53B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089429">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FFF0DAD">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9754AD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档案递交/提供不及时</w:t>
            </w:r>
          </w:p>
        </w:tc>
        <w:tc>
          <w:tcPr>
            <w:tcW w:w="1468" w:type="dxa"/>
          </w:tcPr>
          <w:p w14:paraId="1D45758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3C600853">
            <w:pPr>
              <w:widowControl/>
              <w:jc w:val="left"/>
              <w:rPr>
                <w:rFonts w:hint="eastAsia" w:ascii="宋体" w:hAnsi="宋体" w:cs="宋体"/>
                <w:color w:val="auto"/>
                <w:kern w:val="0"/>
                <w:sz w:val="24"/>
                <w:szCs w:val="24"/>
                <w:highlight w:val="none"/>
                <w:lang w:bidi="ar"/>
              </w:rPr>
            </w:pPr>
          </w:p>
        </w:tc>
      </w:tr>
      <w:tr w14:paraId="0D11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6EB3FDA">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DFA5B8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277165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档案管理不规范（含监控资料）</w:t>
            </w:r>
          </w:p>
        </w:tc>
        <w:tc>
          <w:tcPr>
            <w:tcW w:w="1468" w:type="dxa"/>
          </w:tcPr>
          <w:p w14:paraId="781CA1C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01753B9A">
            <w:pPr>
              <w:widowControl/>
              <w:jc w:val="left"/>
              <w:rPr>
                <w:rFonts w:hint="eastAsia" w:ascii="宋体" w:hAnsi="宋体" w:cs="宋体"/>
                <w:color w:val="auto"/>
                <w:kern w:val="0"/>
                <w:sz w:val="24"/>
                <w:szCs w:val="24"/>
                <w:highlight w:val="none"/>
                <w:lang w:bidi="ar"/>
              </w:rPr>
            </w:pPr>
          </w:p>
        </w:tc>
      </w:tr>
      <w:tr w14:paraId="738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B5BF0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5E4E2BC">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6B1816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其他不符合遴选文件、响应文件或合同的情况</w:t>
            </w:r>
          </w:p>
        </w:tc>
        <w:tc>
          <w:tcPr>
            <w:tcW w:w="1468" w:type="dxa"/>
          </w:tcPr>
          <w:p w14:paraId="6690F20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E86436">
            <w:pPr>
              <w:widowControl/>
              <w:jc w:val="left"/>
              <w:rPr>
                <w:rFonts w:hint="eastAsia" w:ascii="宋体" w:hAnsi="宋体" w:cs="宋体"/>
                <w:color w:val="auto"/>
                <w:kern w:val="0"/>
                <w:sz w:val="24"/>
                <w:szCs w:val="24"/>
                <w:highlight w:val="none"/>
                <w:lang w:bidi="ar"/>
              </w:rPr>
            </w:pPr>
          </w:p>
        </w:tc>
      </w:tr>
      <w:tr w14:paraId="07E9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6" w:type="dxa"/>
            <w:gridSpan w:val="8"/>
          </w:tcPr>
          <w:p w14:paraId="7D264891">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备注：得分</w:t>
            </w:r>
            <w:r>
              <w:rPr>
                <w:rFonts w:hint="eastAsia" w:ascii="宋体" w:hAnsi="宋体" w:cs="宋体"/>
                <w:color w:val="auto"/>
                <w:kern w:val="0"/>
                <w:sz w:val="24"/>
                <w:szCs w:val="24"/>
                <w:highlight w:val="none"/>
                <w:lang w:val="en-US" w:eastAsia="zh-CN" w:bidi="ar"/>
              </w:rPr>
              <w:t>9</w:t>
            </w:r>
            <w:r>
              <w:rPr>
                <w:rFonts w:hint="eastAsia" w:ascii="宋体" w:hAnsi="宋体" w:cs="宋体"/>
                <w:color w:val="auto"/>
                <w:kern w:val="0"/>
                <w:sz w:val="24"/>
                <w:szCs w:val="24"/>
                <w:highlight w:val="none"/>
                <w:lang w:bidi="ar"/>
              </w:rPr>
              <w:t>0分及以上的为合格，</w:t>
            </w:r>
            <w:r>
              <w:rPr>
                <w:rFonts w:hint="eastAsia" w:ascii="宋体" w:hAnsi="宋体" w:cs="宋体"/>
                <w:color w:val="auto"/>
                <w:kern w:val="0"/>
                <w:sz w:val="24"/>
                <w:szCs w:val="24"/>
                <w:highlight w:val="none"/>
                <w:lang w:val="en-US" w:eastAsia="zh-CN" w:bidi="ar"/>
              </w:rPr>
              <w:t>80-89分</w:t>
            </w:r>
            <w:r>
              <w:rPr>
                <w:rFonts w:hint="eastAsia" w:ascii="宋体" w:hAnsi="宋体" w:cs="宋体"/>
                <w:color w:val="auto"/>
                <w:kern w:val="0"/>
                <w:sz w:val="24"/>
                <w:szCs w:val="24"/>
                <w:highlight w:val="none"/>
                <w:lang w:bidi="ar"/>
              </w:rPr>
              <w:t>的为基本合格，</w:t>
            </w:r>
            <w:r>
              <w:rPr>
                <w:rFonts w:hint="eastAsia" w:ascii="宋体" w:hAnsi="宋体" w:cs="宋体"/>
                <w:color w:val="auto"/>
                <w:kern w:val="0"/>
                <w:sz w:val="24"/>
                <w:szCs w:val="24"/>
                <w:highlight w:val="none"/>
                <w:lang w:val="en-US" w:eastAsia="zh-CN" w:bidi="ar"/>
              </w:rPr>
              <w:t>低于8</w:t>
            </w:r>
            <w:r>
              <w:rPr>
                <w:rFonts w:hint="eastAsia" w:ascii="宋体" w:hAnsi="宋体" w:cs="宋体"/>
                <w:color w:val="auto"/>
                <w:kern w:val="0"/>
                <w:sz w:val="24"/>
                <w:szCs w:val="24"/>
                <w:highlight w:val="none"/>
                <w:lang w:bidi="ar"/>
              </w:rPr>
              <w:t>0分的为不合格</w:t>
            </w:r>
          </w:p>
        </w:tc>
      </w:tr>
      <w:tr w14:paraId="1B76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66" w:type="dxa"/>
            <w:gridSpan w:val="8"/>
          </w:tcPr>
          <w:p w14:paraId="69AA526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考核得分：</w:t>
            </w:r>
          </w:p>
        </w:tc>
      </w:tr>
      <w:tr w14:paraId="50D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20F7426C">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考核等级：</w:t>
            </w:r>
          </w:p>
        </w:tc>
      </w:tr>
      <w:tr w14:paraId="0768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B840B1B">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考核科室经办人：</w:t>
            </w:r>
          </w:p>
        </w:tc>
      </w:tr>
      <w:tr w14:paraId="1E17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71DE47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考核科室负责人：</w:t>
            </w:r>
          </w:p>
        </w:tc>
      </w:tr>
      <w:tr w14:paraId="7548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738748B5">
            <w:pPr>
              <w:widowControl/>
              <w:jc w:val="left"/>
              <w:rPr>
                <w:rFonts w:hint="default" w:ascii="宋体" w:hAnsi="宋体" w:eastAsia="微软雅黑" w:cs="宋体"/>
                <w:color w:val="auto"/>
                <w:kern w:val="0"/>
                <w:sz w:val="24"/>
                <w:szCs w:val="24"/>
                <w:highlight w:val="none"/>
                <w:lang w:val="en-US" w:eastAsia="zh-CN" w:bidi="ar"/>
              </w:rPr>
            </w:pPr>
          </w:p>
        </w:tc>
      </w:tr>
    </w:tbl>
    <w:p w14:paraId="0B68A1C4">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pPr>
    </w:p>
    <w:p w14:paraId="49AF3B66">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9" w:name="_Toc12231"/>
      <w:bookmarkStart w:id="40" w:name="_Toc6146"/>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六、违约责任</w:t>
      </w:r>
      <w:bookmarkEnd w:id="39"/>
      <w:bookmarkEnd w:id="40"/>
    </w:p>
    <w:p w14:paraId="4D1F8470">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（一）采购代理机构被查证存在弄虚作假、提供不实资料等方式骗取中标的，采购人将解除其服务合同。</w:t>
      </w:r>
    </w:p>
    <w:p w14:paraId="5254596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及其工作人员有违反国家有关法律法规行为的，采购人有权单方面终止服务合同，将采购代理机构纳入采购人采购代理黑名单，并通报有关部门，依照相关法律法规进行处理；涉嫌犯罪的，依法移交司法机关处理。采购代理机构的违法行为给他人造成损失的，应自行依法承担民事责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xml:space="preserve">    （三）采购代理机构存在《政府采购货物和服务招标投标管理办法》（财政部令第87号）第七十八条中所列明的违法行为情形之一的，采购人有权单方面终止服务合同，并将其违法行为通报有关部门，由有关部门责令限期整改，情节严重的，给予警告，对直接负责的主管人员和其他直接责任人员，由其行政主管部门或者有关机关给予处分，并予通报；采购代理机构有违法所得的，没收违法所得。</w:t>
      </w:r>
    </w:p>
    <w:p w14:paraId="684A1DA9">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（四）采购代理机构在采购代理过程中，如不按照本比选文件要求的服务内容、服务要求等提供采购代理服务，且经采购人书面通知要求整改而未整改的，采购人有权单方面终止服务合同。</w:t>
      </w:r>
    </w:p>
    <w:p w14:paraId="1CAE3F8E">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采购代理机构不得因业务量大小、难易程度、地域远近而拒绝采购人委托的采购项目和工作内容，若无故不接受代理项目的，采购人有权单方面终止服务合同。在履约期内因故放弃代理服务累计达两次的，采购人有权单方面终止服务合同。</w:t>
      </w:r>
    </w:p>
    <w:p w14:paraId="1F2A8E3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（六）采购代理机构转包或未经采购人同意分包承接项目的，采购人将解除其服务合同。</w:t>
      </w:r>
    </w:p>
    <w:p w14:paraId="2AE387D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（七）采购代理机构受到行政严重处罚或被司法机关认定存在商业贿赂等违法行为，采购人将解除其服务合同。</w:t>
      </w:r>
    </w:p>
    <w:p w14:paraId="4DD95B0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（八）如国家及本市相关法律法规发生变化或与现行法律法规有冲突，则按相关法律法规执行，采购人有权终止合同。</w:t>
      </w:r>
    </w:p>
    <w:p w14:paraId="207F52A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41" w:name="_Toc16824"/>
      <w:bookmarkStart w:id="42" w:name="_Toc10018"/>
      <w:r>
        <w:rPr>
          <w:rFonts w:hint="eastAsia" w:ascii="微软雅黑" w:hAnsi="微软雅黑" w:eastAsia="微软雅黑" w:cs="微软雅黑"/>
          <w:color w:val="auto"/>
          <w:sz w:val="28"/>
          <w:szCs w:val="28"/>
          <w:highlight w:val="none"/>
        </w:rPr>
        <w:t>七、</w:t>
      </w:r>
      <w:bookmarkStart w:id="43" w:name="_Toc444601165"/>
      <w:bookmarkStart w:id="44" w:name="_Toc464133372"/>
      <w:bookmarkStart w:id="45" w:name="_Toc448308270"/>
      <w:r>
        <w:rPr>
          <w:rFonts w:hint="eastAsia" w:ascii="微软雅黑" w:hAnsi="微软雅黑" w:eastAsia="微软雅黑" w:cs="微软雅黑"/>
          <w:color w:val="auto"/>
          <w:sz w:val="28"/>
          <w:szCs w:val="28"/>
          <w:highlight w:val="none"/>
        </w:rPr>
        <w:t>其他</w:t>
      </w:r>
      <w:bookmarkEnd w:id="41"/>
      <w:bookmarkEnd w:id="42"/>
      <w:bookmarkEnd w:id="43"/>
      <w:bookmarkEnd w:id="44"/>
      <w:bookmarkEnd w:id="45"/>
    </w:p>
    <w:p w14:paraId="332992F4">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（一）代理机构必须在响应文件中对以上条款和服务承诺明确列出，承诺内容必须达到本篇及比选文件其他条款的要求。</w:t>
      </w:r>
    </w:p>
    <w:p w14:paraId="4462FBF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（二）其他未尽事宜由供需双方再另行约定。</w:t>
      </w:r>
      <w:bookmarkEnd w:id="35"/>
    </w:p>
    <w:p w14:paraId="405A8AEA">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sectPr>
          <w:headerReference r:id="rId9" w:type="first"/>
          <w:headerReference r:id="rId8" w:type="default"/>
          <w:pgSz w:w="11906" w:h="16838"/>
          <w:pgMar w:top="1985" w:right="1474" w:bottom="1701" w:left="1588" w:header="851" w:footer="1179" w:gutter="0"/>
          <w:cols w:space="720" w:num="1"/>
          <w:titlePg/>
          <w:docGrid w:linePitch="396" w:charSpace="-1260"/>
        </w:sectPr>
      </w:pPr>
    </w:p>
    <w:bookmarkEnd w:id="26"/>
    <w:p w14:paraId="343793CF">
      <w:pPr>
        <w:pStyle w:val="2"/>
        <w:spacing w:line="360" w:lineRule="auto"/>
        <w:jc w:val="center"/>
        <w:rPr>
          <w:rFonts w:hint="eastAsia" w:ascii="微软雅黑" w:hAnsi="微软雅黑" w:eastAsia="微软雅黑" w:cs="微软雅黑"/>
          <w:b w:val="0"/>
          <w:color w:val="auto"/>
          <w:sz w:val="36"/>
          <w:szCs w:val="30"/>
          <w:highlight w:val="none"/>
        </w:rPr>
      </w:pPr>
      <w:bookmarkStart w:id="46" w:name="_Toc26745"/>
      <w:r>
        <w:rPr>
          <w:rFonts w:hint="eastAsia" w:ascii="微软雅黑" w:hAnsi="微软雅黑" w:eastAsia="微软雅黑" w:cs="微软雅黑"/>
          <w:b w:val="0"/>
          <w:color w:val="auto"/>
          <w:sz w:val="36"/>
          <w:szCs w:val="30"/>
          <w:highlight w:val="none"/>
        </w:rPr>
        <w:t>第三篇  竞选程序及方法、评审标准、无效响应和</w:t>
      </w:r>
      <w:r>
        <w:rPr>
          <w:rFonts w:hint="eastAsia" w:ascii="微软雅黑" w:hAnsi="微软雅黑" w:eastAsia="微软雅黑" w:cs="微软雅黑"/>
          <w:b w:val="0"/>
          <w:color w:val="auto"/>
          <w:sz w:val="36"/>
          <w:szCs w:val="36"/>
          <w:highlight w:val="none"/>
        </w:rPr>
        <w:t>采购终止</w:t>
      </w:r>
      <w:bookmarkEnd w:id="46"/>
    </w:p>
    <w:p w14:paraId="1796B10E">
      <w:pPr>
        <w:pStyle w:val="3"/>
        <w:spacing w:line="440" w:lineRule="exact"/>
        <w:rPr>
          <w:rFonts w:hint="eastAsia" w:ascii="微软雅黑" w:hAnsi="微软雅黑" w:eastAsia="微软雅黑" w:cs="微软雅黑"/>
          <w:color w:val="auto"/>
          <w:sz w:val="24"/>
          <w:szCs w:val="24"/>
          <w:highlight w:val="none"/>
        </w:rPr>
      </w:pPr>
      <w:bookmarkStart w:id="47" w:name="_Toc3953"/>
      <w:r>
        <w:rPr>
          <w:rFonts w:hint="eastAsia" w:ascii="微软雅黑" w:hAnsi="微软雅黑" w:eastAsia="微软雅黑" w:cs="微软雅黑"/>
          <w:color w:val="auto"/>
          <w:sz w:val="24"/>
          <w:szCs w:val="24"/>
          <w:highlight w:val="none"/>
        </w:rPr>
        <w:t>一、竞选程序及方法</w:t>
      </w:r>
      <w:bookmarkEnd w:id="47"/>
    </w:p>
    <w:p w14:paraId="3A0030B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（一）竞选按竞争性比选文件规定的时间和地点进行，代理机构须有法定代表人或负责人（或其授权代表）参加并签到。</w:t>
      </w:r>
    </w:p>
    <w:p w14:paraId="56B8AB8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（二）比选小组对各代理机构的资格条件、比选响应文件的有效性、完整性和响应程度进行审查。各代理机构只有在完全符合要求的前提下，才能参与正式比选。</w:t>
      </w:r>
    </w:p>
    <w:p w14:paraId="685DB10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0"/>
          <w:sz w:val="24"/>
          <w:szCs w:val="24"/>
          <w:highlight w:val="none"/>
        </w:rPr>
        <w:t>资格性审查。依据法律法规和竞争性比选文件的规定，对比选响应文件中的资格证明等进行审查，以确定代理机构是否具备比选资格。资格性审查资料表如下：</w:t>
      </w:r>
    </w:p>
    <w:tbl>
      <w:tblPr>
        <w:tblStyle w:val="15"/>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5990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FF4110F">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序号</w:t>
            </w:r>
          </w:p>
        </w:tc>
        <w:tc>
          <w:tcPr>
            <w:tcW w:w="4398" w:type="dxa"/>
            <w:gridSpan w:val="2"/>
            <w:vAlign w:val="center"/>
          </w:tcPr>
          <w:p w14:paraId="1DEA9475">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检查因素</w:t>
            </w:r>
          </w:p>
        </w:tc>
        <w:tc>
          <w:tcPr>
            <w:tcW w:w="4413" w:type="dxa"/>
            <w:vAlign w:val="center"/>
          </w:tcPr>
          <w:p w14:paraId="1D554C0A">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检查内容</w:t>
            </w:r>
          </w:p>
        </w:tc>
      </w:tr>
      <w:tr w14:paraId="22CF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1C4E8B13">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p>
        </w:tc>
        <w:tc>
          <w:tcPr>
            <w:tcW w:w="709" w:type="dxa"/>
            <w:vMerge w:val="restart"/>
            <w:vAlign w:val="center"/>
          </w:tcPr>
          <w:p w14:paraId="46D79A6E">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《中华人民共和国政府采购法》第二十二条规定</w:t>
            </w:r>
          </w:p>
        </w:tc>
        <w:tc>
          <w:tcPr>
            <w:tcW w:w="3689" w:type="dxa"/>
            <w:vAlign w:val="center"/>
          </w:tcPr>
          <w:p w14:paraId="68931704">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1.具有独立承担民事责任的能力</w:t>
            </w:r>
          </w:p>
        </w:tc>
        <w:tc>
          <w:tcPr>
            <w:tcW w:w="4413" w:type="dxa"/>
            <w:vAlign w:val="center"/>
          </w:tcPr>
          <w:p w14:paraId="7A447CAC">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 xml:space="preserve">1.供应商法人营业执照（副本）（提供复印件）。 </w:t>
            </w:r>
          </w:p>
          <w:p w14:paraId="15827D93">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2.供应商法定代表人及授权代表的身份证明和法定代表人授权委托书（若由法定代表人签署响应文件的，则无需提供授权委托书）。</w:t>
            </w:r>
          </w:p>
          <w:p w14:paraId="4A2C8FB2">
            <w:pPr>
              <w:rPr>
                <w:rFonts w:hint="eastAsia" w:ascii="微软雅黑" w:hAnsi="微软雅黑" w:eastAsia="微软雅黑"/>
                <w:color w:val="auto"/>
                <w:sz w:val="21"/>
                <w:szCs w:val="21"/>
                <w:highlight w:val="none"/>
              </w:rPr>
            </w:pPr>
            <w:r>
              <w:rPr>
                <w:rFonts w:hint="eastAsia" w:ascii="微软雅黑" w:hAnsi="微软雅黑" w:eastAsia="微软雅黑" w:cs="微软雅黑"/>
                <w:bCs/>
                <w:color w:val="auto"/>
                <w:kern w:val="0"/>
                <w:sz w:val="21"/>
                <w:szCs w:val="21"/>
                <w:highlight w:val="none"/>
              </w:rPr>
              <w:t>3.供应商法定代表人、授权代表（若有）、项目负责人及团队其他人员开标截止日当月前3个月中任意一个月加盖社保局公章或电子章的社保证明，同时加盖投标人公章</w:t>
            </w:r>
            <w:r>
              <w:rPr>
                <w:rFonts w:hint="eastAsia" w:ascii="宋体" w:hAnsi="宋体" w:eastAsia="宋体" w:cs="宋体"/>
                <w:b/>
                <w:bCs/>
                <w:kern w:val="0"/>
                <w:sz w:val="22"/>
                <w:szCs w:val="22"/>
              </w:rPr>
              <w:t>（注：授权代表的社保缴费单位须为供应商；法定代表人退休或未缴纳社保，按采购文件第</w:t>
            </w:r>
            <w:r>
              <w:rPr>
                <w:rFonts w:hint="eastAsia" w:ascii="宋体" w:hAnsi="宋体" w:eastAsia="宋体" w:cs="宋体"/>
                <w:b/>
                <w:bCs/>
                <w:kern w:val="0"/>
                <w:sz w:val="22"/>
                <w:szCs w:val="22"/>
                <w:lang w:val="en-US" w:eastAsia="zh-CN"/>
              </w:rPr>
              <w:t>五</w:t>
            </w:r>
            <w:r>
              <w:rPr>
                <w:rFonts w:hint="eastAsia" w:ascii="宋体" w:hAnsi="宋体" w:eastAsia="宋体" w:cs="宋体"/>
                <w:b/>
                <w:bCs/>
                <w:kern w:val="0"/>
                <w:sz w:val="22"/>
                <w:szCs w:val="22"/>
              </w:rPr>
              <w:t>篇的“</w:t>
            </w:r>
            <w:r>
              <w:rPr>
                <w:rFonts w:hint="eastAsia" w:ascii="宋体" w:hAnsi="宋体" w:eastAsia="宋体" w:cs="宋体"/>
                <w:b/>
                <w:bCs/>
                <w:kern w:val="0"/>
                <w:sz w:val="22"/>
                <w:szCs w:val="22"/>
                <w:lang w:val="en-US" w:eastAsia="zh-CN"/>
              </w:rPr>
              <w:t>四</w:t>
            </w:r>
            <w:r>
              <w:rPr>
                <w:rFonts w:hint="eastAsia" w:ascii="宋体" w:hAnsi="宋体" w:eastAsia="宋体" w:cs="宋体"/>
                <w:b/>
                <w:bCs/>
                <w:kern w:val="0"/>
                <w:sz w:val="22"/>
                <w:szCs w:val="22"/>
              </w:rPr>
              <w:t>、资格条件及其他”的“法定代表人未缴纳社保情况说明（格式）”填写须提供情况说明或相关证明材料</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法定代表人缴纳社保在其他单位的，须提供在其他单位参保的社保证明材料），若法定代表人直接参加投标的，则无需提供授权代表的社保证明。</w:t>
            </w:r>
          </w:p>
        </w:tc>
      </w:tr>
      <w:tr w14:paraId="7FAF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B63EB65">
            <w:pPr>
              <w:jc w:val="center"/>
              <w:rPr>
                <w:rFonts w:hint="eastAsia" w:ascii="微软雅黑" w:hAnsi="微软雅黑" w:eastAsia="微软雅黑"/>
                <w:color w:val="auto"/>
                <w:sz w:val="21"/>
                <w:szCs w:val="21"/>
                <w:highlight w:val="none"/>
              </w:rPr>
            </w:pPr>
          </w:p>
        </w:tc>
        <w:tc>
          <w:tcPr>
            <w:tcW w:w="709" w:type="dxa"/>
            <w:vMerge w:val="continue"/>
            <w:vAlign w:val="center"/>
          </w:tcPr>
          <w:p w14:paraId="4B0A319B">
            <w:pPr>
              <w:rPr>
                <w:rFonts w:hint="eastAsia" w:ascii="微软雅黑" w:hAnsi="微软雅黑" w:eastAsia="微软雅黑"/>
                <w:color w:val="auto"/>
                <w:sz w:val="21"/>
                <w:szCs w:val="21"/>
                <w:highlight w:val="none"/>
                <w:lang w:val="zh-CN"/>
              </w:rPr>
            </w:pPr>
          </w:p>
        </w:tc>
        <w:tc>
          <w:tcPr>
            <w:tcW w:w="3689" w:type="dxa"/>
            <w:vAlign w:val="center"/>
          </w:tcPr>
          <w:p w14:paraId="27FD7C4B">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2.</w:t>
            </w:r>
            <w:r>
              <w:rPr>
                <w:rFonts w:hint="eastAsia" w:ascii="微软雅黑" w:hAnsi="微软雅黑" w:eastAsia="微软雅黑"/>
                <w:color w:val="auto"/>
                <w:sz w:val="21"/>
                <w:szCs w:val="21"/>
                <w:highlight w:val="none"/>
              </w:rPr>
              <w:t>具有良好的商业信誉和健全的财务会计制度</w:t>
            </w:r>
          </w:p>
        </w:tc>
        <w:tc>
          <w:tcPr>
            <w:tcW w:w="4413" w:type="dxa"/>
            <w:vMerge w:val="restart"/>
            <w:vAlign w:val="center"/>
          </w:tcPr>
          <w:p w14:paraId="0FA8E076">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提供“基本资格条件承诺函”</w:t>
            </w:r>
            <w:r>
              <w:rPr>
                <w:rFonts w:hint="eastAsia" w:ascii="宋体" w:hAnsi="宋体" w:cs="宋体"/>
                <w:color w:val="auto"/>
                <w:sz w:val="21"/>
                <w:szCs w:val="21"/>
                <w:highlight w:val="none"/>
                <w:lang w:val="zh-CN"/>
              </w:rPr>
              <w:t>（见格式文件）</w:t>
            </w:r>
          </w:p>
        </w:tc>
      </w:tr>
      <w:tr w14:paraId="5158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30AAD75">
            <w:pPr>
              <w:jc w:val="center"/>
              <w:rPr>
                <w:rFonts w:hint="eastAsia" w:ascii="微软雅黑" w:hAnsi="微软雅黑" w:eastAsia="微软雅黑"/>
                <w:color w:val="auto"/>
                <w:sz w:val="21"/>
                <w:szCs w:val="21"/>
                <w:highlight w:val="none"/>
              </w:rPr>
            </w:pPr>
          </w:p>
        </w:tc>
        <w:tc>
          <w:tcPr>
            <w:tcW w:w="709" w:type="dxa"/>
            <w:vMerge w:val="continue"/>
            <w:vAlign w:val="center"/>
          </w:tcPr>
          <w:p w14:paraId="7C482304">
            <w:pPr>
              <w:rPr>
                <w:rFonts w:hint="eastAsia" w:ascii="微软雅黑" w:hAnsi="微软雅黑" w:eastAsia="微软雅黑"/>
                <w:color w:val="auto"/>
                <w:sz w:val="21"/>
                <w:szCs w:val="21"/>
                <w:highlight w:val="none"/>
                <w:lang w:val="zh-CN"/>
              </w:rPr>
            </w:pPr>
          </w:p>
        </w:tc>
        <w:tc>
          <w:tcPr>
            <w:tcW w:w="3689" w:type="dxa"/>
            <w:vAlign w:val="center"/>
          </w:tcPr>
          <w:p w14:paraId="1AC276B6">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3.具有履行合同所必需的设备和专业技术能力</w:t>
            </w:r>
          </w:p>
        </w:tc>
        <w:tc>
          <w:tcPr>
            <w:tcW w:w="4413" w:type="dxa"/>
            <w:vMerge w:val="continue"/>
            <w:vAlign w:val="center"/>
          </w:tcPr>
          <w:p w14:paraId="14C26419">
            <w:pPr>
              <w:rPr>
                <w:rFonts w:hint="eastAsia" w:ascii="微软雅黑" w:hAnsi="微软雅黑" w:eastAsia="微软雅黑"/>
                <w:color w:val="auto"/>
                <w:sz w:val="21"/>
                <w:szCs w:val="21"/>
                <w:highlight w:val="none"/>
              </w:rPr>
            </w:pPr>
          </w:p>
        </w:tc>
      </w:tr>
      <w:tr w14:paraId="73EB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C79EACB">
            <w:pPr>
              <w:jc w:val="center"/>
              <w:rPr>
                <w:rFonts w:hint="eastAsia" w:ascii="微软雅黑" w:hAnsi="微软雅黑" w:eastAsia="微软雅黑"/>
                <w:color w:val="auto"/>
                <w:sz w:val="21"/>
                <w:szCs w:val="21"/>
                <w:highlight w:val="none"/>
              </w:rPr>
            </w:pPr>
          </w:p>
        </w:tc>
        <w:tc>
          <w:tcPr>
            <w:tcW w:w="709" w:type="dxa"/>
            <w:vMerge w:val="continue"/>
            <w:vAlign w:val="center"/>
          </w:tcPr>
          <w:p w14:paraId="64B586C4">
            <w:pPr>
              <w:rPr>
                <w:rFonts w:hint="eastAsia" w:ascii="微软雅黑" w:hAnsi="微软雅黑" w:eastAsia="微软雅黑"/>
                <w:color w:val="auto"/>
                <w:sz w:val="21"/>
                <w:szCs w:val="21"/>
                <w:highlight w:val="none"/>
                <w:lang w:val="zh-CN"/>
              </w:rPr>
            </w:pPr>
          </w:p>
        </w:tc>
        <w:tc>
          <w:tcPr>
            <w:tcW w:w="3689" w:type="dxa"/>
            <w:vAlign w:val="center"/>
          </w:tcPr>
          <w:p w14:paraId="0E760D02">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4.有依法缴纳税收和社会保障金的良好记录</w:t>
            </w:r>
          </w:p>
        </w:tc>
        <w:tc>
          <w:tcPr>
            <w:tcW w:w="4413" w:type="dxa"/>
            <w:vMerge w:val="continue"/>
            <w:vAlign w:val="center"/>
          </w:tcPr>
          <w:p w14:paraId="0609CD56">
            <w:pPr>
              <w:rPr>
                <w:rFonts w:hint="eastAsia" w:ascii="微软雅黑" w:hAnsi="微软雅黑" w:eastAsia="微软雅黑"/>
                <w:color w:val="auto"/>
                <w:sz w:val="21"/>
                <w:szCs w:val="21"/>
                <w:highlight w:val="none"/>
              </w:rPr>
            </w:pPr>
          </w:p>
        </w:tc>
      </w:tr>
      <w:tr w14:paraId="6EFE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E485D15">
            <w:pPr>
              <w:jc w:val="center"/>
              <w:rPr>
                <w:rFonts w:hint="eastAsia" w:ascii="微软雅黑" w:hAnsi="微软雅黑" w:eastAsia="微软雅黑"/>
                <w:color w:val="auto"/>
                <w:sz w:val="21"/>
                <w:szCs w:val="21"/>
                <w:highlight w:val="none"/>
              </w:rPr>
            </w:pPr>
          </w:p>
        </w:tc>
        <w:tc>
          <w:tcPr>
            <w:tcW w:w="709" w:type="dxa"/>
            <w:vMerge w:val="continue"/>
            <w:vAlign w:val="center"/>
          </w:tcPr>
          <w:p w14:paraId="1C672B25">
            <w:pPr>
              <w:rPr>
                <w:rFonts w:hint="eastAsia" w:ascii="微软雅黑" w:hAnsi="微软雅黑" w:eastAsia="微软雅黑"/>
                <w:color w:val="auto"/>
                <w:sz w:val="21"/>
                <w:szCs w:val="21"/>
                <w:highlight w:val="none"/>
                <w:lang w:val="zh-CN"/>
              </w:rPr>
            </w:pPr>
          </w:p>
        </w:tc>
        <w:tc>
          <w:tcPr>
            <w:tcW w:w="3689" w:type="dxa"/>
            <w:vAlign w:val="center"/>
          </w:tcPr>
          <w:p w14:paraId="1E480F3C">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5.参加政府采购活动前三年内，在经营活动中没有重大违法记录</w:t>
            </w:r>
          </w:p>
        </w:tc>
        <w:tc>
          <w:tcPr>
            <w:tcW w:w="4413" w:type="dxa"/>
            <w:vMerge w:val="continue"/>
            <w:vAlign w:val="center"/>
          </w:tcPr>
          <w:p w14:paraId="1A27B448">
            <w:pPr>
              <w:rPr>
                <w:rFonts w:hint="eastAsia" w:ascii="微软雅黑" w:hAnsi="微软雅黑" w:eastAsia="微软雅黑"/>
                <w:b/>
                <w:color w:val="auto"/>
                <w:sz w:val="21"/>
                <w:szCs w:val="21"/>
                <w:highlight w:val="none"/>
              </w:rPr>
            </w:pPr>
          </w:p>
        </w:tc>
      </w:tr>
      <w:tr w14:paraId="52AD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112AD3C9">
            <w:pPr>
              <w:jc w:val="center"/>
              <w:rPr>
                <w:rFonts w:hint="eastAsia" w:ascii="微软雅黑" w:hAnsi="微软雅黑" w:eastAsia="微软雅黑"/>
                <w:color w:val="auto"/>
                <w:sz w:val="21"/>
                <w:szCs w:val="21"/>
                <w:highlight w:val="none"/>
              </w:rPr>
            </w:pPr>
          </w:p>
        </w:tc>
        <w:tc>
          <w:tcPr>
            <w:tcW w:w="709" w:type="dxa"/>
            <w:vMerge w:val="continue"/>
            <w:vAlign w:val="center"/>
          </w:tcPr>
          <w:p w14:paraId="3CE717BF">
            <w:pPr>
              <w:rPr>
                <w:rFonts w:hint="eastAsia" w:ascii="微软雅黑" w:hAnsi="微软雅黑" w:eastAsia="微软雅黑"/>
                <w:color w:val="auto"/>
                <w:sz w:val="21"/>
                <w:szCs w:val="21"/>
                <w:highlight w:val="none"/>
              </w:rPr>
            </w:pPr>
          </w:p>
        </w:tc>
        <w:tc>
          <w:tcPr>
            <w:tcW w:w="3689" w:type="dxa"/>
            <w:vAlign w:val="center"/>
          </w:tcPr>
          <w:p w14:paraId="3D67984B">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413" w:type="dxa"/>
            <w:vAlign w:val="center"/>
          </w:tcPr>
          <w:p w14:paraId="020CD7A4">
            <w:pPr>
              <w:rPr>
                <w:rFonts w:hint="eastAsia" w:ascii="微软雅黑" w:hAnsi="微软雅黑" w:eastAsia="微软雅黑"/>
                <w:color w:val="auto"/>
                <w:sz w:val="21"/>
                <w:szCs w:val="21"/>
                <w:highlight w:val="none"/>
              </w:rPr>
            </w:pPr>
          </w:p>
        </w:tc>
      </w:tr>
      <w:tr w14:paraId="4FD1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5664CF07">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w:t>
            </w:r>
          </w:p>
        </w:tc>
        <w:tc>
          <w:tcPr>
            <w:tcW w:w="4398" w:type="dxa"/>
            <w:gridSpan w:val="2"/>
            <w:vAlign w:val="center"/>
          </w:tcPr>
          <w:p w14:paraId="17A33E29">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本项目的特定资格要求</w:t>
            </w:r>
          </w:p>
        </w:tc>
        <w:tc>
          <w:tcPr>
            <w:tcW w:w="4413" w:type="dxa"/>
            <w:vAlign w:val="center"/>
          </w:tcPr>
          <w:p w14:paraId="5F168DED">
            <w:pP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按“第一篇三、代理机构资格要求（二）本项目的特定资格要求”的要求提交。</w:t>
            </w:r>
          </w:p>
        </w:tc>
      </w:tr>
    </w:tbl>
    <w:p w14:paraId="65CC5C20">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p>
    <w:p w14:paraId="71E97E25">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①根据《中华人民共和国政府采购法实施条例》第十九条“参加政府采购活动前三年内，在经营活动中没有重大违法记录”中“重大违法记录”，是指代理机构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代理机构可于投标截止日期前通过 “信用中国”网站(www.creditchina.gov.cn)、"中国政府采购网"(www.ccgp.gov.cn)等渠道查询信用记录。</w:t>
      </w:r>
    </w:p>
    <w:p w14:paraId="1C30272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43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61F0B196">
            <w:pPr>
              <w:snapToGrid w:val="0"/>
              <w:spacing w:line="400" w:lineRule="exact"/>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序号</w:t>
            </w:r>
          </w:p>
        </w:tc>
        <w:tc>
          <w:tcPr>
            <w:tcW w:w="3526" w:type="dxa"/>
            <w:gridSpan w:val="2"/>
            <w:vAlign w:val="center"/>
          </w:tcPr>
          <w:p w14:paraId="4B8E850E">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评审因素</w:t>
            </w:r>
          </w:p>
        </w:tc>
        <w:tc>
          <w:tcPr>
            <w:tcW w:w="5382" w:type="dxa"/>
            <w:vAlign w:val="center"/>
          </w:tcPr>
          <w:p w14:paraId="329DEDD6">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评审标准</w:t>
            </w:r>
          </w:p>
        </w:tc>
      </w:tr>
      <w:tr w14:paraId="1C4C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5CF141A5">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52" w:type="dxa"/>
            <w:vMerge w:val="restart"/>
            <w:vAlign w:val="center"/>
          </w:tcPr>
          <w:p w14:paraId="5C52843E">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974" w:type="dxa"/>
            <w:vAlign w:val="center"/>
          </w:tcPr>
          <w:p w14:paraId="1772BAD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响应文件签署</w:t>
            </w:r>
          </w:p>
        </w:tc>
        <w:tc>
          <w:tcPr>
            <w:tcW w:w="5382" w:type="dxa"/>
            <w:vAlign w:val="center"/>
          </w:tcPr>
          <w:p w14:paraId="767C0B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响应文件电子文档上法定代表人（或其授权代表）的签字齐全。</w:t>
            </w:r>
          </w:p>
        </w:tc>
      </w:tr>
      <w:tr w14:paraId="51D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7C5970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4B847A88">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7164946F">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w:t>
            </w:r>
          </w:p>
        </w:tc>
        <w:tc>
          <w:tcPr>
            <w:tcW w:w="5382" w:type="dxa"/>
            <w:vAlign w:val="center"/>
          </w:tcPr>
          <w:p w14:paraId="1887C530">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法定代表人身份证明及授权委托书有效，符合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文件规定的格式，签字或盖章齐全。</w:t>
            </w:r>
          </w:p>
        </w:tc>
      </w:tr>
      <w:tr w14:paraId="386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5F319AB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7470225F">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6690FDB2">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c>
          <w:tcPr>
            <w:tcW w:w="5382" w:type="dxa"/>
            <w:vAlign w:val="center"/>
          </w:tcPr>
          <w:p w14:paraId="08D5FFB5">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只能有一个</w:t>
            </w: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r>
      <w:tr w14:paraId="7AE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6DB5699A">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2E846C50">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51B93E5C">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报价唯一</w:t>
            </w:r>
          </w:p>
        </w:tc>
        <w:tc>
          <w:tcPr>
            <w:tcW w:w="5382" w:type="dxa"/>
            <w:vAlign w:val="center"/>
          </w:tcPr>
          <w:p w14:paraId="4F47D5DD">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只能在采购预算范围内报价，</w:t>
            </w:r>
            <w:r>
              <w:rPr>
                <w:rFonts w:hint="eastAsia" w:ascii="微软雅黑" w:hAnsi="微软雅黑" w:eastAsia="微软雅黑" w:cs="微软雅黑"/>
                <w:color w:val="auto"/>
                <w:kern w:val="0"/>
                <w:sz w:val="21"/>
                <w:szCs w:val="21"/>
                <w:highlight w:val="none"/>
              </w:rPr>
              <w:t>只能有一个有效报价，不得提交选择性报价。</w:t>
            </w:r>
          </w:p>
        </w:tc>
      </w:tr>
      <w:tr w14:paraId="0141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trPr>
        <w:tc>
          <w:tcPr>
            <w:tcW w:w="671" w:type="dxa"/>
            <w:vMerge w:val="restart"/>
            <w:vAlign w:val="center"/>
          </w:tcPr>
          <w:p w14:paraId="7FBB179A">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52" w:type="dxa"/>
            <w:vMerge w:val="restart"/>
            <w:vAlign w:val="center"/>
          </w:tcPr>
          <w:p w14:paraId="5A8AB86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974" w:type="dxa"/>
            <w:vAlign w:val="center"/>
          </w:tcPr>
          <w:p w14:paraId="02AB884C">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文件份数</w:t>
            </w:r>
          </w:p>
        </w:tc>
        <w:tc>
          <w:tcPr>
            <w:tcW w:w="5382" w:type="dxa"/>
            <w:vAlign w:val="center"/>
          </w:tcPr>
          <w:p w14:paraId="5A3A9E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w:t>
            </w:r>
            <w:r>
              <w:rPr>
                <w:rFonts w:hint="eastAsia" w:ascii="微软雅黑" w:hAnsi="微软雅黑" w:eastAsia="微软雅黑" w:cs="微软雅黑"/>
                <w:color w:val="auto"/>
                <w:kern w:val="0"/>
                <w:sz w:val="21"/>
                <w:szCs w:val="21"/>
                <w:highlight w:val="none"/>
              </w:rPr>
              <w:t>份数</w:t>
            </w:r>
            <w:r>
              <w:rPr>
                <w:rFonts w:hint="eastAsia" w:ascii="微软雅黑" w:hAnsi="微软雅黑" w:eastAsia="微软雅黑" w:cs="微软雅黑"/>
                <w:color w:val="auto"/>
                <w:kern w:val="0"/>
                <w:sz w:val="21"/>
                <w:szCs w:val="21"/>
                <w:highlight w:val="none"/>
                <w:lang w:val="zh-CN"/>
              </w:rPr>
              <w:t>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文件要求。</w:t>
            </w:r>
          </w:p>
        </w:tc>
      </w:tr>
      <w:tr w14:paraId="384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04EDD0A">
            <w:pPr>
              <w:snapToGrid w:val="0"/>
              <w:spacing w:line="400" w:lineRule="exact"/>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19B6FBDF">
            <w:pPr>
              <w:snapToGrid w:val="0"/>
              <w:spacing w:line="400" w:lineRule="exact"/>
              <w:rPr>
                <w:rFonts w:hint="eastAsia" w:ascii="微软雅黑" w:hAnsi="微软雅黑" w:eastAsia="微软雅黑" w:cs="微软雅黑"/>
                <w:color w:val="auto"/>
                <w:kern w:val="0"/>
                <w:sz w:val="21"/>
                <w:szCs w:val="21"/>
                <w:highlight w:val="none"/>
              </w:rPr>
            </w:pPr>
          </w:p>
        </w:tc>
        <w:tc>
          <w:tcPr>
            <w:tcW w:w="1974" w:type="dxa"/>
            <w:vAlign w:val="center"/>
          </w:tcPr>
          <w:p w14:paraId="275986E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1D94E077">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响应文件内容齐全、无遗漏。</w:t>
            </w:r>
          </w:p>
        </w:tc>
      </w:tr>
      <w:tr w14:paraId="6560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303432E0">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52" w:type="dxa"/>
            <w:vMerge w:val="restart"/>
            <w:vAlign w:val="center"/>
          </w:tcPr>
          <w:p w14:paraId="3FEB01D5">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响应程度审查</w:t>
            </w:r>
          </w:p>
        </w:tc>
        <w:tc>
          <w:tcPr>
            <w:tcW w:w="1974" w:type="dxa"/>
            <w:vAlign w:val="center"/>
          </w:tcPr>
          <w:p w14:paraId="6396E97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5C4FAF89">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对</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文件第二篇、第三篇规定的</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内容作出响应。</w:t>
            </w:r>
          </w:p>
        </w:tc>
      </w:tr>
      <w:tr w14:paraId="1B65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571A7141">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3FF024E9">
            <w:pPr>
              <w:snapToGrid w:val="0"/>
              <w:spacing w:line="400" w:lineRule="exact"/>
              <w:rPr>
                <w:rFonts w:hint="eastAsia" w:ascii="微软雅黑" w:hAnsi="微软雅黑" w:eastAsia="微软雅黑" w:cs="微软雅黑"/>
                <w:color w:val="auto"/>
                <w:kern w:val="0"/>
                <w:sz w:val="21"/>
                <w:szCs w:val="21"/>
                <w:highlight w:val="none"/>
                <w:lang w:val="zh-CN"/>
              </w:rPr>
            </w:pPr>
          </w:p>
        </w:tc>
        <w:tc>
          <w:tcPr>
            <w:tcW w:w="1974" w:type="dxa"/>
            <w:vAlign w:val="center"/>
          </w:tcPr>
          <w:p w14:paraId="04F0FD48">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网上竞采有效期</w:t>
            </w:r>
          </w:p>
        </w:tc>
        <w:tc>
          <w:tcPr>
            <w:tcW w:w="5382" w:type="dxa"/>
            <w:vAlign w:val="center"/>
          </w:tcPr>
          <w:p w14:paraId="0D6FD7E6">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满足</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文件规定有效期为提交响应文件截止时间起90天。</w:t>
            </w:r>
          </w:p>
        </w:tc>
      </w:tr>
    </w:tbl>
    <w:p w14:paraId="441FDE7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比选小组在对比选响应文件的有效性、完整性和响应程度进行审查时，可以要求代理机构对比选响应文件中含义不明确、同类问题表述不一致或者有明显文字和计算错误的内容等作出必要的澄清、说明或者更正。代理机构的澄清、说明或者更正不得超出比选响应文件的范围或者改变比选响应文件的实质性内容。</w:t>
      </w:r>
    </w:p>
    <w:p w14:paraId="4AB2422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（四）比选小组要求代理机构澄清、说明或者更正比选响应文件应当以书面形式作出。代理机构的澄清、说明或者更正应当由法定代表人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或其授权代表签署或者加盖公章。由授权代表签署的，应当附法定代表人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授权书。</w:t>
      </w:r>
    </w:p>
    <w:p w14:paraId="25BB75C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（五）在比选过程中比选的任何一方不得向他人透露与比选有关的服务资料、价格或其他信息。</w:t>
      </w:r>
    </w:p>
    <w:p w14:paraId="38018F3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比选过程中，比选小组不得根据竞争性比选文件和比选情况实质性变动采购需求中的服务、商务要求以及合同草案条款。对竞争性比选文件作出的实质性变动是竞争性比选文件的有效组成部分，比选小组应当及时以书面形式同时通知所有参加比选的代理机构。</w:t>
      </w:r>
    </w:p>
    <w:p w14:paraId="4915CF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（七）代理机构在比选时作出的所有书面承诺须由法定代表人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w:t>
      </w:r>
    </w:p>
    <w:p w14:paraId="78E639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比选小组采用综合评分法对代理机构的比选响应文件和报价（含有效书面承诺）进行综合评分。综合评分法，是指比选响应文件满足竞争性比选文件全部实质性要求且按照评审因素的量化指标评审得分最高的代理机构为成交候选代理机构的评审方法。代理机构总得分为服务、商务等评定因素分别按照相应权重值计算分项得分后相加，满分为100分。</w:t>
      </w:r>
    </w:p>
    <w:p w14:paraId="250B669E">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（九）比选小组各成员独立对每个有效响应（通过资格性审查、符合性审查的代理机构）的文件进行评价、打分，然后汇总每个代理机构每项评分因素的得分，并根据综合评分情况按照评审得分由高到低顺序推荐</w:t>
      </w:r>
      <w:r>
        <w:rPr>
          <w:rFonts w:hint="eastAsia" w:ascii="微软雅黑" w:hAnsi="微软雅黑" w:eastAsia="微软雅黑" w:cs="微软雅黑"/>
          <w:color w:val="auto"/>
          <w:sz w:val="24"/>
          <w:szCs w:val="24"/>
          <w:highlight w:val="none"/>
          <w:lang w:val="en-US" w:eastAsia="zh-CN"/>
        </w:rPr>
        <w:t>不高于</w:t>
      </w:r>
      <w:r>
        <w:rPr>
          <w:rFonts w:hint="eastAsia" w:ascii="微软雅黑" w:hAnsi="微软雅黑" w:eastAsia="微软雅黑" w:cs="微软雅黑"/>
          <w:color w:val="auto"/>
          <w:sz w:val="24"/>
          <w:szCs w:val="24"/>
          <w:highlight w:val="none"/>
        </w:rPr>
        <w:t>3名成交候选代理机构，并编写评审报告。若代理机构的评审得分相同的，按照报价由高到低的顺序排列推荐。评审得分且报价相同的，按照服务指标优劣顺序排列推荐。以上都相同的，按商务条款的优劣顺序排列推荐。</w:t>
      </w:r>
    </w:p>
    <w:p w14:paraId="533A5B32">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注：技术/服务部分得分为0分的供应商失去成为成交候选人的资格。</w:t>
      </w:r>
    </w:p>
    <w:p w14:paraId="135413CD">
      <w:pPr>
        <w:pStyle w:val="3"/>
        <w:spacing w:line="440" w:lineRule="exact"/>
        <w:ind w:firstLine="240" w:firstLineChars="100"/>
        <w:rPr>
          <w:rFonts w:hint="eastAsia" w:ascii="微软雅黑" w:hAnsi="微软雅黑" w:eastAsia="微软雅黑" w:cs="微软雅黑"/>
          <w:color w:val="auto"/>
          <w:sz w:val="24"/>
          <w:szCs w:val="24"/>
          <w:highlight w:val="none"/>
        </w:rPr>
      </w:pPr>
      <w:bookmarkStart w:id="48" w:name="_Toc30210"/>
      <w:r>
        <w:rPr>
          <w:rFonts w:hint="eastAsia" w:ascii="微软雅黑" w:hAnsi="微软雅黑" w:eastAsia="微软雅黑" w:cs="微软雅黑"/>
          <w:color w:val="auto"/>
          <w:sz w:val="24"/>
          <w:szCs w:val="24"/>
          <w:highlight w:val="none"/>
        </w:rPr>
        <w:t>二、</w:t>
      </w:r>
      <w:bookmarkStart w:id="49" w:name="_Toc102227320"/>
      <w:bookmarkStart w:id="50" w:name="_Toc342913394"/>
      <w:r>
        <w:rPr>
          <w:rFonts w:hint="eastAsia" w:ascii="微软雅黑" w:hAnsi="微软雅黑" w:eastAsia="微软雅黑" w:cs="微软雅黑"/>
          <w:color w:val="auto"/>
          <w:sz w:val="24"/>
          <w:szCs w:val="24"/>
          <w:highlight w:val="none"/>
        </w:rPr>
        <w:t>评审标准</w:t>
      </w:r>
      <w:bookmarkEnd w:id="48"/>
    </w:p>
    <w:tbl>
      <w:tblPr>
        <w:tblStyle w:val="15"/>
        <w:tblW w:w="98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90"/>
        <w:gridCol w:w="1333"/>
        <w:gridCol w:w="4514"/>
        <w:gridCol w:w="2500"/>
      </w:tblGrid>
      <w:tr w14:paraId="682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36" w:type="dxa"/>
            <w:vAlign w:val="center"/>
          </w:tcPr>
          <w:p w14:paraId="33FFBE72">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090" w:type="dxa"/>
            <w:vAlign w:val="center"/>
          </w:tcPr>
          <w:p w14:paraId="635A95AF">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333" w:type="dxa"/>
            <w:vAlign w:val="center"/>
          </w:tcPr>
          <w:p w14:paraId="2D6C10A8">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514" w:type="dxa"/>
            <w:vAlign w:val="center"/>
          </w:tcPr>
          <w:p w14:paraId="3D1DE1D6">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500" w:type="dxa"/>
            <w:vAlign w:val="center"/>
          </w:tcPr>
          <w:p w14:paraId="4D7F6FCD">
            <w:pPr>
              <w:spacing w:line="240" w:lineRule="atLeast"/>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723D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restart"/>
            <w:vAlign w:val="center"/>
          </w:tcPr>
          <w:p w14:paraId="4B30098D">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090" w:type="dxa"/>
            <w:vMerge w:val="restart"/>
            <w:vAlign w:val="center"/>
          </w:tcPr>
          <w:p w14:paraId="46B7217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服务部分（</w:t>
            </w:r>
            <w:r>
              <w:rPr>
                <w:rFonts w:hint="eastAsia" w:ascii="微软雅黑" w:hAnsi="微软雅黑" w:eastAsia="微软雅黑" w:cs="微软雅黑"/>
                <w:color w:val="auto"/>
                <w:sz w:val="21"/>
                <w:szCs w:val="21"/>
                <w:highlight w:val="none"/>
                <w:lang w:val="en-US" w:eastAsia="zh-CN"/>
              </w:rPr>
              <w:t>54</w:t>
            </w:r>
            <w:r>
              <w:rPr>
                <w:rFonts w:hint="eastAsia" w:ascii="微软雅黑" w:hAnsi="微软雅黑" w:eastAsia="微软雅黑" w:cs="微软雅黑"/>
                <w:color w:val="auto"/>
                <w:sz w:val="21"/>
                <w:szCs w:val="21"/>
                <w:highlight w:val="none"/>
              </w:rPr>
              <w:t>%）</w:t>
            </w:r>
          </w:p>
        </w:tc>
        <w:tc>
          <w:tcPr>
            <w:tcW w:w="1333" w:type="dxa"/>
            <w:vAlign w:val="center"/>
          </w:tcPr>
          <w:p w14:paraId="37593CF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服务响应程度（10分）</w:t>
            </w:r>
          </w:p>
        </w:tc>
        <w:tc>
          <w:tcPr>
            <w:tcW w:w="4514" w:type="dxa"/>
            <w:vAlign w:val="center"/>
          </w:tcPr>
          <w:p w14:paraId="18A64E41">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1.有效投标人的起评分为10分。</w:t>
            </w:r>
          </w:p>
          <w:p w14:paraId="6F3CC239">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 扣分条款：</w:t>
            </w:r>
          </w:p>
          <w:p w14:paraId="5D5CE914">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xml:space="preserve">2.1 投标产品技术参数不满足招标文件重要技术参数需求的【本招标文件第二篇“服务内容和服务要求”部分（▲）号标注的部分】，每负偏离一条从起评分中扣除1分，扣完为止。 </w:t>
            </w:r>
          </w:p>
          <w:p w14:paraId="01421225">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2.2投标产品技术参数不满足招标文件一般性技术需求的【即本招标文件第二篇 “服务内容和服务要求”部分（▲）和（※）号标注的部分除外】，每负偏离一条从起评分中扣除0.1分，扣完为止。</w:t>
            </w:r>
          </w:p>
        </w:tc>
        <w:tc>
          <w:tcPr>
            <w:tcW w:w="2500" w:type="dxa"/>
            <w:vAlign w:val="center"/>
          </w:tcPr>
          <w:p w14:paraId="20A3C13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每条（▲）号条款或每条一般性技术需求（非（▲）号和非（※）号条款）下有多个技术参数要求的，多个技术参数中只要其中一个不满足要求，即按不满足该条（▲）号条款或该条一般性技术需求进行相应扣分（多个技术参数中有多个条款不满足的，不重复扣分）。</w:t>
            </w:r>
          </w:p>
        </w:tc>
      </w:tr>
      <w:tr w14:paraId="63CA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continue"/>
            <w:vAlign w:val="center"/>
          </w:tcPr>
          <w:p w14:paraId="035FA247">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177C822">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5909371D">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招标代理工作服务方案（10分）</w:t>
            </w:r>
          </w:p>
        </w:tc>
        <w:tc>
          <w:tcPr>
            <w:tcW w:w="4514" w:type="dxa"/>
            <w:vAlign w:val="center"/>
          </w:tcPr>
          <w:p w14:paraId="1E77F30C">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代理机构结合</w:t>
            </w:r>
            <w:r>
              <w:rPr>
                <w:rFonts w:hint="eastAsia" w:ascii="微软雅黑" w:hAnsi="微软雅黑" w:eastAsia="微软雅黑" w:cs="微软雅黑"/>
                <w:color w:val="auto"/>
                <w:sz w:val="21"/>
                <w:szCs w:val="21"/>
                <w:highlight w:val="none"/>
              </w:rPr>
              <w:t>本项目实际情况、</w:t>
            </w:r>
            <w:r>
              <w:rPr>
                <w:rFonts w:hint="eastAsia" w:ascii="微软雅黑" w:hAnsi="微软雅黑" w:eastAsia="微软雅黑" w:cs="微软雅黑"/>
                <w:color w:val="auto"/>
                <w:kern w:val="0"/>
                <w:sz w:val="21"/>
                <w:szCs w:val="21"/>
                <w:highlight w:val="none"/>
              </w:rPr>
              <w:t>相关政策法规、自身情况和管理内控制度等方面，从政府采购招标代理服务工作的各个方面编制服务方案（包括但不限于拟派团队人员安排、代理公司内控制度、招标代理流程、应急措施、投诉质疑处理方案等采购全过程服务方案），评审人员根据代理机构提供的服务方案进行评审；每项起评分2分，单项内容每有一处瑕疵从单项起评分中扣除1分，扣完为止。内容与本项目无关或未提供实施方案的得0分。</w:t>
            </w:r>
          </w:p>
        </w:tc>
        <w:tc>
          <w:tcPr>
            <w:tcW w:w="2500" w:type="dxa"/>
            <w:vMerge w:val="restart"/>
            <w:vAlign w:val="center"/>
          </w:tcPr>
          <w:p w14:paraId="2D996FB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1.响应文件中提供书面方案，方案内容不超过100页，超过100页为无效方案，不得分。</w:t>
            </w:r>
          </w:p>
          <w:p w14:paraId="576BA9C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2.本部分所称的“瑕疵”包含但不限于以下内容：</w:t>
            </w:r>
          </w:p>
          <w:p w14:paraId="366C1825">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①内容表述不完整或缺少关键分析点或情况介绍说明；</w:t>
            </w:r>
          </w:p>
          <w:p w14:paraId="4B49378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②无科学合理性、无可行性或先进性；</w:t>
            </w:r>
          </w:p>
          <w:p w14:paraId="362CAB5F">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③内容表述前后矛盾、无连贯性、内容存在逻辑漏洞；</w:t>
            </w:r>
          </w:p>
          <w:p w14:paraId="403632AD">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④常识性错误；</w:t>
            </w:r>
          </w:p>
          <w:p w14:paraId="115AE16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⑤并不适用本项目特性或非专门针对本项目制定；</w:t>
            </w:r>
          </w:p>
          <w:p w14:paraId="49E6560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⑥不利于本项目目标的实现，不适用于采购人单位现有情况；</w:t>
            </w:r>
          </w:p>
          <w:p w14:paraId="472AC6CB">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⑦现有技术条件下不可能实现采购目标；上述任意一种情形为1处瑕疵。</w:t>
            </w:r>
          </w:p>
        </w:tc>
      </w:tr>
      <w:tr w14:paraId="0EC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trPr>
        <w:tc>
          <w:tcPr>
            <w:tcW w:w="436" w:type="dxa"/>
            <w:vMerge w:val="continue"/>
            <w:vAlign w:val="center"/>
          </w:tcPr>
          <w:p w14:paraId="03D8B47A">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18073F25">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C0DD48F">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档案管理方案（</w:t>
            </w:r>
            <w:r>
              <w:rPr>
                <w:rFonts w:hint="eastAsia" w:ascii="微软雅黑" w:hAnsi="微软雅黑" w:eastAsia="微软雅黑" w:cs="微软雅黑"/>
                <w:color w:val="auto"/>
                <w:sz w:val="21"/>
                <w:szCs w:val="21"/>
                <w:highlight w:val="none"/>
                <w:lang w:val="en-US" w:eastAsia="zh-CN"/>
              </w:rPr>
              <w:t>24</w:t>
            </w:r>
            <w:r>
              <w:rPr>
                <w:rFonts w:hint="eastAsia" w:ascii="微软雅黑" w:hAnsi="微软雅黑" w:eastAsia="微软雅黑" w:cs="微软雅黑"/>
                <w:color w:val="auto"/>
                <w:sz w:val="21"/>
                <w:szCs w:val="21"/>
                <w:highlight w:val="none"/>
              </w:rPr>
              <w:t>分）</w:t>
            </w:r>
          </w:p>
        </w:tc>
        <w:tc>
          <w:tcPr>
            <w:tcW w:w="4514" w:type="dxa"/>
            <w:vAlign w:val="center"/>
          </w:tcPr>
          <w:p w14:paraId="109DBDEA">
            <w:pPr>
              <w:widowControl/>
              <w:adjustRightInd w:val="0"/>
              <w:snapToGrid w:val="0"/>
              <w:textAlignment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Cs/>
                <w:color w:val="auto"/>
                <w:kern w:val="0"/>
                <w:sz w:val="21"/>
                <w:szCs w:val="21"/>
                <w:highlight w:val="none"/>
              </w:rPr>
              <w:t>依据代理机构提供的档案管理方案进行评分，</w:t>
            </w:r>
            <w:r>
              <w:rPr>
                <w:rFonts w:hint="eastAsia" w:ascii="微软雅黑" w:hAnsi="微软雅黑" w:eastAsia="微软雅黑" w:cs="微软雅黑"/>
                <w:color w:val="auto"/>
                <w:kern w:val="0"/>
                <w:sz w:val="21"/>
                <w:szCs w:val="21"/>
                <w:highlight w:val="none"/>
              </w:rPr>
              <w:t>优（包括但不限于档案管理岗位设置、档案管理制度、档案存放内容标准、保密措施、档案移交流程、档案遗失或损毁处理方案等）</w:t>
            </w:r>
            <w:r>
              <w:rPr>
                <w:rFonts w:hint="eastAsia" w:ascii="微软雅黑" w:hAnsi="微软雅黑" w:eastAsia="微软雅黑" w:cs="微软雅黑"/>
                <w:bCs/>
                <w:color w:val="auto"/>
                <w:kern w:val="0"/>
                <w:sz w:val="21"/>
                <w:szCs w:val="21"/>
                <w:highlight w:val="none"/>
              </w:rPr>
              <w:t>：每项起评分</w:t>
            </w:r>
            <w:r>
              <w:rPr>
                <w:rFonts w:hint="eastAsia" w:ascii="微软雅黑" w:hAnsi="微软雅黑" w:eastAsia="微软雅黑" w:cs="微软雅黑"/>
                <w:bCs/>
                <w:color w:val="auto"/>
                <w:kern w:val="0"/>
                <w:sz w:val="21"/>
                <w:szCs w:val="21"/>
                <w:highlight w:val="none"/>
                <w:lang w:val="en-US" w:eastAsia="zh-CN"/>
              </w:rPr>
              <w:t>4</w:t>
            </w:r>
            <w:r>
              <w:rPr>
                <w:rFonts w:hint="eastAsia" w:ascii="微软雅黑" w:hAnsi="微软雅黑" w:eastAsia="微软雅黑" w:cs="微软雅黑"/>
                <w:bCs/>
                <w:color w:val="auto"/>
                <w:kern w:val="0"/>
                <w:sz w:val="21"/>
                <w:szCs w:val="21"/>
                <w:highlight w:val="none"/>
              </w:rPr>
              <w:t>分，单项内容每有一处瑕疵从单项起评分中扣除1分，扣完为止。内容与本项目无关或未提供实施方案的得0分。</w:t>
            </w:r>
          </w:p>
        </w:tc>
        <w:tc>
          <w:tcPr>
            <w:tcW w:w="2500" w:type="dxa"/>
            <w:vMerge w:val="continue"/>
            <w:vAlign w:val="center"/>
          </w:tcPr>
          <w:p w14:paraId="6CC96CBC">
            <w:pPr>
              <w:spacing w:line="360" w:lineRule="exact"/>
              <w:rPr>
                <w:rFonts w:hint="eastAsia" w:ascii="微软雅黑" w:hAnsi="微软雅黑" w:eastAsia="微软雅黑" w:cs="微软雅黑"/>
                <w:color w:val="auto"/>
                <w:sz w:val="21"/>
                <w:szCs w:val="21"/>
                <w:highlight w:val="none"/>
              </w:rPr>
            </w:pPr>
          </w:p>
        </w:tc>
      </w:tr>
      <w:tr w14:paraId="3636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36" w:type="dxa"/>
            <w:vMerge w:val="continue"/>
            <w:vAlign w:val="center"/>
          </w:tcPr>
          <w:p w14:paraId="0EBF79C9">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DC7A2CA">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09777B3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开评标室配置（10分）</w:t>
            </w:r>
          </w:p>
        </w:tc>
        <w:tc>
          <w:tcPr>
            <w:tcW w:w="4514" w:type="dxa"/>
            <w:vAlign w:val="center"/>
          </w:tcPr>
          <w:p w14:paraId="2EADCAD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供应商应</w:t>
            </w:r>
            <w:bookmarkStart w:id="51" w:name="OLE_LINK4"/>
            <w:r>
              <w:rPr>
                <w:rFonts w:hint="eastAsia" w:ascii="微软雅黑" w:hAnsi="微软雅黑" w:eastAsia="微软雅黑" w:cs="微软雅黑"/>
                <w:bCs/>
                <w:color w:val="auto"/>
                <w:kern w:val="0"/>
                <w:sz w:val="21"/>
                <w:szCs w:val="21"/>
                <w:highlight w:val="none"/>
              </w:rPr>
              <w:t>提供“开评标室”证明材料</w:t>
            </w:r>
            <w:bookmarkEnd w:id="51"/>
            <w:r>
              <w:rPr>
                <w:rFonts w:hint="eastAsia" w:ascii="微软雅黑" w:hAnsi="微软雅黑" w:eastAsia="微软雅黑" w:cs="微软雅黑"/>
                <w:bCs/>
                <w:color w:val="auto"/>
                <w:kern w:val="0"/>
                <w:sz w:val="21"/>
                <w:szCs w:val="21"/>
                <w:highlight w:val="none"/>
              </w:rPr>
              <w:t>，包括但不限于：开标室、评标室、监控设备。提供上述全部证明材料得5分，根据各供应商提供的证明材料进行综合对比，在满足上述要求上，配置合理加5分，配置一般加2分，未提供或未按要求提供得0分，本项满分为10分。</w:t>
            </w:r>
          </w:p>
        </w:tc>
        <w:tc>
          <w:tcPr>
            <w:tcW w:w="2500" w:type="dxa"/>
            <w:vAlign w:val="center"/>
          </w:tcPr>
          <w:p w14:paraId="696ADE3F">
            <w:pPr>
              <w:spacing w:line="36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kern w:val="0"/>
                <w:sz w:val="21"/>
                <w:szCs w:val="21"/>
                <w:highlight w:val="none"/>
              </w:rPr>
              <w:t>提供“开评标室”证明材料</w:t>
            </w:r>
          </w:p>
        </w:tc>
      </w:tr>
      <w:tr w14:paraId="445D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436" w:type="dxa"/>
            <w:vMerge w:val="restart"/>
            <w:vAlign w:val="center"/>
          </w:tcPr>
          <w:p w14:paraId="794DA1A2">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090" w:type="dxa"/>
            <w:vMerge w:val="restart"/>
            <w:vAlign w:val="center"/>
          </w:tcPr>
          <w:p w14:paraId="5F12C231">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5F20923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p>
        </w:tc>
        <w:tc>
          <w:tcPr>
            <w:tcW w:w="1333" w:type="dxa"/>
            <w:vAlign w:val="center"/>
          </w:tcPr>
          <w:p w14:paraId="7EBE35A5">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r>
              <w:rPr>
                <w:rFonts w:hint="eastAsia" w:ascii="微软雅黑" w:hAnsi="微软雅黑" w:eastAsia="微软雅黑" w:cs="微软雅黑"/>
                <w:color w:val="auto"/>
                <w:sz w:val="21"/>
                <w:szCs w:val="21"/>
                <w:highlight w:val="none"/>
                <w:lang w:val="en-US" w:eastAsia="zh-CN"/>
              </w:rPr>
              <w:t>22</w:t>
            </w:r>
            <w:r>
              <w:rPr>
                <w:rFonts w:hint="eastAsia" w:ascii="微软雅黑" w:hAnsi="微软雅黑" w:eastAsia="微软雅黑" w:cs="微软雅黑"/>
                <w:color w:val="auto"/>
                <w:sz w:val="21"/>
                <w:szCs w:val="21"/>
                <w:highlight w:val="none"/>
              </w:rPr>
              <w:t>分）</w:t>
            </w:r>
          </w:p>
        </w:tc>
        <w:tc>
          <w:tcPr>
            <w:tcW w:w="4514" w:type="dxa"/>
            <w:vAlign w:val="center"/>
          </w:tcPr>
          <w:p w14:paraId="20D04C54">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1.2022年1月1日起至今供应商累计代理政府采购项目采购人个数，每提供1个得1分，满分8分。</w:t>
            </w:r>
          </w:p>
          <w:p w14:paraId="5D725F9A">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2.2022年1月1日起至今供应商累计代理的政府采购项目数量，每提供1个得1分，满分8分。</w:t>
            </w:r>
          </w:p>
          <w:p w14:paraId="34A97DE9">
            <w:pPr>
              <w:widowControl/>
              <w:adjustRightInd w:val="0"/>
              <w:snapToGrid w:val="0"/>
              <w:textAlignment w:val="center"/>
              <w:rPr>
                <w:rFonts w:hint="default" w:ascii="微软雅黑" w:hAnsi="微软雅黑" w:eastAsia="微软雅黑" w:cs="微软雅黑"/>
                <w:bCs/>
                <w:color w:val="auto"/>
                <w:kern w:val="0"/>
                <w:sz w:val="21"/>
                <w:szCs w:val="21"/>
                <w:highlight w:val="none"/>
                <w:lang w:val="en-US" w:eastAsia="zh-CN"/>
              </w:rPr>
            </w:pPr>
            <w:r>
              <w:rPr>
                <w:rFonts w:hint="eastAsia" w:ascii="微软雅黑" w:hAnsi="微软雅黑" w:eastAsia="微软雅黑" w:cs="微软雅黑"/>
                <w:bCs/>
                <w:color w:val="auto"/>
                <w:kern w:val="0"/>
                <w:sz w:val="21"/>
                <w:szCs w:val="21"/>
                <w:highlight w:val="none"/>
                <w:lang w:val="en-US" w:eastAsia="zh-CN"/>
              </w:rPr>
              <w:t>3.可从事国际招标代理业务，</w:t>
            </w:r>
            <w:r>
              <w:rPr>
                <w:rFonts w:hint="eastAsia" w:ascii="微软雅黑" w:hAnsi="微软雅黑" w:eastAsia="微软雅黑" w:cs="微软雅黑"/>
                <w:bCs/>
                <w:color w:val="auto"/>
                <w:kern w:val="0"/>
                <w:sz w:val="21"/>
                <w:szCs w:val="21"/>
                <w:highlight w:val="none"/>
              </w:rPr>
              <w:t>2022年1月1日起至今供应商累计代理的</w:t>
            </w:r>
            <w:r>
              <w:rPr>
                <w:rFonts w:hint="eastAsia" w:ascii="微软雅黑" w:hAnsi="微软雅黑" w:eastAsia="微软雅黑" w:cs="微软雅黑"/>
                <w:bCs/>
                <w:color w:val="auto"/>
                <w:kern w:val="0"/>
                <w:sz w:val="21"/>
                <w:szCs w:val="21"/>
                <w:highlight w:val="none"/>
                <w:lang w:val="en-US" w:eastAsia="zh-CN"/>
              </w:rPr>
              <w:t>国际招标</w:t>
            </w:r>
            <w:r>
              <w:rPr>
                <w:rFonts w:hint="eastAsia" w:ascii="微软雅黑" w:hAnsi="微软雅黑" w:eastAsia="微软雅黑" w:cs="微软雅黑"/>
                <w:bCs/>
                <w:color w:val="auto"/>
                <w:kern w:val="0"/>
                <w:sz w:val="21"/>
                <w:szCs w:val="21"/>
                <w:highlight w:val="none"/>
              </w:rPr>
              <w:t>项目数量，每提供1个得1分，满分</w:t>
            </w:r>
            <w:r>
              <w:rPr>
                <w:rFonts w:hint="eastAsia" w:ascii="微软雅黑" w:hAnsi="微软雅黑" w:eastAsia="微软雅黑" w:cs="微软雅黑"/>
                <w:bCs/>
                <w:color w:val="auto"/>
                <w:kern w:val="0"/>
                <w:sz w:val="21"/>
                <w:szCs w:val="21"/>
                <w:highlight w:val="none"/>
                <w:lang w:val="en-US" w:eastAsia="zh-CN"/>
              </w:rPr>
              <w:t>6</w:t>
            </w:r>
            <w:r>
              <w:rPr>
                <w:rFonts w:hint="eastAsia" w:ascii="微软雅黑" w:hAnsi="微软雅黑" w:eastAsia="微软雅黑" w:cs="微软雅黑"/>
                <w:bCs/>
                <w:color w:val="auto"/>
                <w:kern w:val="0"/>
                <w:sz w:val="21"/>
                <w:szCs w:val="21"/>
                <w:highlight w:val="none"/>
              </w:rPr>
              <w:t>分。</w:t>
            </w:r>
          </w:p>
        </w:tc>
        <w:tc>
          <w:tcPr>
            <w:tcW w:w="2500" w:type="dxa"/>
            <w:vAlign w:val="center"/>
          </w:tcPr>
          <w:p w14:paraId="215404D8">
            <w:pPr>
              <w:spacing w:line="240" w:lineRule="atLeast"/>
              <w:rPr>
                <w:rFonts w:hint="default" w:ascii="微软雅黑" w:hAnsi="微软雅黑" w:eastAsia="微软雅黑" w:cs="微软雅黑"/>
                <w:bCs/>
                <w:color w:val="auto"/>
                <w:kern w:val="0"/>
                <w:sz w:val="21"/>
                <w:szCs w:val="21"/>
                <w:highlight w:val="none"/>
                <w:lang w:val="en-US"/>
              </w:rPr>
            </w:pPr>
            <w:r>
              <w:rPr>
                <w:rFonts w:hint="eastAsia" w:ascii="微软雅黑" w:hAnsi="微软雅黑" w:eastAsia="微软雅黑" w:cs="微软雅黑"/>
                <w:bCs/>
                <w:color w:val="auto"/>
                <w:kern w:val="0"/>
                <w:sz w:val="21"/>
                <w:szCs w:val="21"/>
                <w:highlight w:val="none"/>
                <w:lang w:val="en-US" w:eastAsia="zh-CN"/>
              </w:rPr>
              <w:t>第1条和第2条</w:t>
            </w:r>
            <w:r>
              <w:rPr>
                <w:rFonts w:hint="eastAsia" w:ascii="微软雅黑" w:hAnsi="微软雅黑" w:eastAsia="微软雅黑" w:cs="微软雅黑"/>
                <w:bCs/>
                <w:color w:val="auto"/>
                <w:kern w:val="0"/>
                <w:sz w:val="21"/>
                <w:szCs w:val="21"/>
                <w:highlight w:val="none"/>
              </w:rPr>
              <w:t>提供</w:t>
            </w:r>
            <w:r>
              <w:rPr>
                <w:rFonts w:hint="eastAsia" w:ascii="微软雅黑" w:hAnsi="微软雅黑" w:eastAsia="微软雅黑" w:cs="微软雅黑"/>
                <w:bCs/>
                <w:color w:val="auto"/>
                <w:kern w:val="0"/>
                <w:sz w:val="21"/>
                <w:szCs w:val="21"/>
                <w:highlight w:val="none"/>
                <w:lang w:val="en-US" w:eastAsia="zh-CN"/>
              </w:rPr>
              <w:t>政府采购主管部门盖章的或政府采购系统相关证明文件（如采购计划表）复印件并加</w:t>
            </w:r>
            <w:r>
              <w:rPr>
                <w:rFonts w:hint="eastAsia" w:ascii="微软雅黑" w:hAnsi="微软雅黑" w:eastAsia="微软雅黑" w:cs="微软雅黑"/>
                <w:bCs/>
                <w:color w:val="auto"/>
                <w:kern w:val="0"/>
                <w:sz w:val="21"/>
                <w:szCs w:val="21"/>
                <w:highlight w:val="none"/>
              </w:rPr>
              <w:t>盖供应商公章</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第3条提供在机电产品招标投标电子交易平台（www.chinabidding.com）代理机构截图及所代理项目的招标公告截图，提供一个招标公告截图得一分。</w:t>
            </w:r>
          </w:p>
        </w:tc>
      </w:tr>
      <w:tr w14:paraId="766B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3F00AB98">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4624C876">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62A37AD">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在渝规范存档资料</w:t>
            </w:r>
          </w:p>
          <w:p w14:paraId="458EEE01">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（4分）</w:t>
            </w:r>
          </w:p>
        </w:tc>
        <w:tc>
          <w:tcPr>
            <w:tcW w:w="4514" w:type="dxa"/>
            <w:vAlign w:val="center"/>
          </w:tcPr>
          <w:p w14:paraId="1D7F633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提供采购存档资料保管年限在15年以上的项目，提供一个得2分，最多得4分。</w:t>
            </w:r>
          </w:p>
        </w:tc>
        <w:tc>
          <w:tcPr>
            <w:tcW w:w="2500" w:type="dxa"/>
            <w:vAlign w:val="center"/>
          </w:tcPr>
          <w:p w14:paraId="5DB0973E">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提供清单明细表（内容应包含：序号、项目名称、采购公告、开标时间、采购人单位名称及联系电话、代理合同等），并承诺提供资料的属实。</w:t>
            </w:r>
          </w:p>
        </w:tc>
      </w:tr>
      <w:tr w14:paraId="741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650AB30C">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3648E891">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45D036C9">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团队人员</w:t>
            </w:r>
          </w:p>
          <w:p w14:paraId="375691E2">
            <w:pPr>
              <w:spacing w:line="360" w:lineRule="exact"/>
              <w:jc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color w:val="auto"/>
                <w:sz w:val="21"/>
                <w:szCs w:val="21"/>
                <w:highlight w:val="none"/>
              </w:rPr>
              <w:t>（20分）</w:t>
            </w:r>
          </w:p>
        </w:tc>
        <w:tc>
          <w:tcPr>
            <w:tcW w:w="4514" w:type="dxa"/>
            <w:vAlign w:val="center"/>
          </w:tcPr>
          <w:p w14:paraId="49CC6A02">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1.拟派本项目的项目负责人</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7分</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w:t>
            </w:r>
          </w:p>
          <w:p w14:paraId="1781CB92">
            <w:pPr>
              <w:widowControl/>
              <w:numPr>
                <w:ilvl w:val="0"/>
                <w:numId w:val="0"/>
              </w:numPr>
              <w:adjustRightInd w:val="0"/>
              <w:snapToGrid w:val="0"/>
              <w:ind w:leftChars="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具备研究生以上学历得2分；本科及以上学历的得1分，</w:t>
            </w:r>
            <w:r>
              <w:rPr>
                <w:rFonts w:hint="eastAsia" w:ascii="微软雅黑" w:hAnsi="微软雅黑" w:eastAsia="微软雅黑" w:cs="微软雅黑"/>
                <w:bCs/>
                <w:color w:val="auto"/>
                <w:kern w:val="0"/>
                <w:sz w:val="21"/>
                <w:szCs w:val="21"/>
                <w:highlight w:val="none"/>
                <w:lang w:val="en-US" w:eastAsia="zh-CN"/>
              </w:rPr>
              <w:t>本条款</w:t>
            </w:r>
            <w:r>
              <w:rPr>
                <w:rFonts w:hint="eastAsia" w:ascii="微软雅黑" w:hAnsi="微软雅黑" w:eastAsia="微软雅黑" w:cs="微软雅黑"/>
                <w:bCs/>
                <w:color w:val="auto"/>
                <w:kern w:val="0"/>
                <w:sz w:val="21"/>
                <w:szCs w:val="21"/>
                <w:highlight w:val="none"/>
              </w:rPr>
              <w:t>最高2分；</w:t>
            </w:r>
          </w:p>
          <w:p w14:paraId="7B2B6A98">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具备经济类或工程类高级职称的得5分；具备经济类或工程类中级职称的得3分，具备经济类或工程类初级或助理职称的得1分。本条款最高5分（经济类、工程类职称证书不得重复计分）；</w:t>
            </w:r>
          </w:p>
          <w:p w14:paraId="479BB58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2.拟派本项目团队人员中具备招标师或</w:t>
            </w:r>
            <w:r>
              <w:rPr>
                <w:rFonts w:hint="eastAsia" w:ascii="微软雅黑" w:hAnsi="微软雅黑" w:eastAsia="微软雅黑" w:cs="微软雅黑"/>
                <w:bCs/>
                <w:color w:val="auto"/>
                <w:kern w:val="0"/>
                <w:sz w:val="21"/>
                <w:szCs w:val="21"/>
                <w:highlight w:val="none"/>
                <w:lang w:val="en-US" w:eastAsia="zh-CN"/>
              </w:rPr>
              <w:t>采购</w:t>
            </w:r>
            <w:r>
              <w:rPr>
                <w:rFonts w:hint="eastAsia" w:ascii="微软雅黑" w:hAnsi="微软雅黑" w:eastAsia="微软雅黑" w:cs="微软雅黑"/>
                <w:bCs/>
                <w:color w:val="auto"/>
                <w:kern w:val="0"/>
                <w:sz w:val="21"/>
                <w:szCs w:val="21"/>
                <w:highlight w:val="none"/>
              </w:rPr>
              <w:t>师证书的得4分；</w:t>
            </w:r>
          </w:p>
          <w:p w14:paraId="66C0BF75">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3.拟派本项目团队人员中</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具备</w:t>
            </w:r>
            <w:r>
              <w:rPr>
                <w:rFonts w:hint="eastAsia" w:ascii="微软雅黑" w:hAnsi="微软雅黑" w:eastAsia="微软雅黑" w:cs="微软雅黑"/>
                <w:bCs/>
                <w:color w:val="auto"/>
                <w:kern w:val="0"/>
                <w:sz w:val="21"/>
                <w:szCs w:val="21"/>
                <w:highlight w:val="none"/>
                <w:lang w:val="en-US" w:eastAsia="zh-CN"/>
              </w:rPr>
              <w:t>近3</w:t>
            </w:r>
            <w:r>
              <w:rPr>
                <w:rFonts w:hint="eastAsia" w:ascii="微软雅黑" w:hAnsi="微软雅黑" w:eastAsia="微软雅黑" w:cs="微软雅黑"/>
                <w:bCs/>
                <w:color w:val="auto"/>
                <w:kern w:val="0"/>
                <w:sz w:val="21"/>
                <w:szCs w:val="21"/>
                <w:highlight w:val="none"/>
              </w:rPr>
              <w:t>年</w:t>
            </w:r>
            <w:r>
              <w:rPr>
                <w:rFonts w:hint="eastAsia" w:ascii="微软雅黑" w:hAnsi="微软雅黑" w:eastAsia="微软雅黑" w:cs="微软雅黑"/>
                <w:bCs/>
                <w:color w:val="auto"/>
                <w:kern w:val="0"/>
                <w:sz w:val="21"/>
                <w:szCs w:val="21"/>
                <w:highlight w:val="none"/>
                <w:lang w:val="en-US" w:eastAsia="zh-CN"/>
              </w:rPr>
              <w:t>中任意一年</w:t>
            </w:r>
            <w:r>
              <w:rPr>
                <w:rFonts w:hint="eastAsia" w:ascii="微软雅黑" w:hAnsi="微软雅黑" w:eastAsia="微软雅黑" w:cs="微软雅黑"/>
                <w:bCs/>
                <w:color w:val="auto"/>
                <w:kern w:val="0"/>
                <w:sz w:val="21"/>
                <w:szCs w:val="21"/>
                <w:highlight w:val="none"/>
              </w:rPr>
              <w:t>重庆市政府采购代理机构从业人员培训合格证书</w:t>
            </w:r>
            <w:r>
              <w:rPr>
                <w:rFonts w:hint="eastAsia" w:ascii="微软雅黑" w:hAnsi="微软雅黑" w:eastAsia="微软雅黑" w:cs="微软雅黑"/>
                <w:bCs/>
                <w:color w:val="auto"/>
                <w:kern w:val="0"/>
                <w:sz w:val="21"/>
                <w:szCs w:val="21"/>
                <w:highlight w:val="none"/>
                <w:lang w:val="en-US" w:eastAsia="zh-CN"/>
              </w:rPr>
              <w:t>的</w:t>
            </w:r>
            <w:r>
              <w:rPr>
                <w:rFonts w:hint="eastAsia" w:ascii="微软雅黑" w:hAnsi="微软雅黑" w:eastAsia="微软雅黑" w:cs="微软雅黑"/>
                <w:bCs/>
                <w:color w:val="auto"/>
                <w:kern w:val="0"/>
                <w:sz w:val="21"/>
                <w:szCs w:val="21"/>
                <w:highlight w:val="none"/>
              </w:rPr>
              <w:t>，1人得1分，最高得3分。</w:t>
            </w:r>
          </w:p>
          <w:p w14:paraId="57FE8806">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4.拟派的团队人员具备法律职业资格证书的得3分（不论人数），无不得分。</w:t>
            </w:r>
          </w:p>
          <w:p w14:paraId="0743C12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5.拟派服务于本项目的人员具备2年及以上招标采购代理从业经历，提供1名人员得1分本项最多得3分。</w:t>
            </w:r>
          </w:p>
        </w:tc>
        <w:tc>
          <w:tcPr>
            <w:tcW w:w="2500" w:type="dxa"/>
            <w:vAlign w:val="center"/>
          </w:tcPr>
          <w:p w14:paraId="3487544B">
            <w:pPr>
              <w:spacing w:line="240" w:lineRule="atLeast"/>
              <w:rPr>
                <w:rFonts w:hint="eastAsia" w:ascii="微软雅黑" w:hAnsi="微软雅黑" w:eastAsia="微软雅黑" w:cs="微软雅黑"/>
                <w:strike/>
                <w:color w:val="auto"/>
                <w:sz w:val="21"/>
                <w:szCs w:val="21"/>
                <w:highlight w:val="none"/>
              </w:rPr>
            </w:pPr>
            <w:r>
              <w:rPr>
                <w:rFonts w:hint="eastAsia" w:ascii="微软雅黑" w:hAnsi="微软雅黑" w:eastAsia="微软雅黑" w:cs="微软雅黑"/>
                <w:bCs/>
                <w:color w:val="auto"/>
                <w:kern w:val="0"/>
                <w:sz w:val="21"/>
                <w:szCs w:val="21"/>
                <w:highlight w:val="none"/>
              </w:rPr>
              <w:t>第1-4项提供服务团队的相关证书复印件，加盖代理机构公章。第5项提供项目服务团队人员招标采购代理从业经历承诺书(格式自拟), 服务团队人员与投标人签订的劳动合同复印件。</w:t>
            </w:r>
          </w:p>
        </w:tc>
      </w:tr>
    </w:tbl>
    <w:p w14:paraId="6A581FAA">
      <w:pPr>
        <w:pStyle w:val="3"/>
        <w:spacing w:line="400" w:lineRule="exact"/>
        <w:rPr>
          <w:rFonts w:hint="eastAsia" w:ascii="微软雅黑" w:hAnsi="微软雅黑" w:eastAsia="微软雅黑" w:cs="微软雅黑"/>
          <w:color w:val="auto"/>
          <w:sz w:val="24"/>
          <w:szCs w:val="24"/>
          <w:highlight w:val="none"/>
        </w:rPr>
      </w:pPr>
      <w:bookmarkStart w:id="52" w:name="_Toc6800"/>
      <w:r>
        <w:rPr>
          <w:rFonts w:hint="eastAsia" w:ascii="微软雅黑" w:hAnsi="微软雅黑" w:eastAsia="微软雅黑" w:cs="微软雅黑"/>
          <w:color w:val="auto"/>
          <w:sz w:val="24"/>
          <w:szCs w:val="24"/>
          <w:highlight w:val="none"/>
        </w:rPr>
        <w:t>三、无效响应</w:t>
      </w:r>
      <w:bookmarkEnd w:id="52"/>
    </w:p>
    <w:p w14:paraId="05DDDDA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代理机构发生以下条款情况之一者，视为无效响应，其比选响应文件将被拒绝：</w:t>
      </w:r>
    </w:p>
    <w:p w14:paraId="1AD087A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（一）代理机构不符合规定的资格条件的；</w:t>
      </w:r>
    </w:p>
    <w:p w14:paraId="05932F1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或其授权代表未参加比选；</w:t>
      </w:r>
    </w:p>
    <w:p w14:paraId="5FC23A6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（三）代理机构所提交的比选响应文件不按“第五篇比选响应文件编制要求”要求签署或盖章；</w:t>
      </w:r>
    </w:p>
    <w:p w14:paraId="0F1CB71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（四）代理机构的报价超过采购预算或最高限价的；</w:t>
      </w:r>
    </w:p>
    <w:p w14:paraId="283FC7C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（五）法定代表人为同一个人的两个及两个以上法人，母公司、全资子公司及其控股公司，在同一包采购中同时参与比选；</w:t>
      </w:r>
    </w:p>
    <w:p w14:paraId="0CDFB8EB">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（六）单位负责人为同一人或者存在直接控股、管理关系的不同代理机构，参加同一合同项下的政府采购活动的；</w:t>
      </w:r>
    </w:p>
    <w:p w14:paraId="7666E307">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（七）为采购项目提供整体设计、规范编制或者项目管理、监理、检测等服务的代理机构，再参加该采购项目的其他采购活动；</w:t>
      </w:r>
    </w:p>
    <w:p w14:paraId="4BD981F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（八）代理机构比选有效期不满足竞争性比选文件要求的；</w:t>
      </w:r>
    </w:p>
    <w:p w14:paraId="113DE2B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（九）代理机构比选响应文件内容有与国家现行法律法规相违背的内容，或附有采购人无法接受的条件；</w:t>
      </w:r>
    </w:p>
    <w:p w14:paraId="333EB40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（十）代理机构以联合体形式参与比选的；</w:t>
      </w:r>
    </w:p>
    <w:p w14:paraId="5F655216">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（十一）代理机构进行合同分包的；</w:t>
      </w:r>
    </w:p>
    <w:p w14:paraId="4663156F">
      <w:pPr>
        <w:snapToGrid w:val="0"/>
        <w:spacing w:line="400" w:lineRule="exact"/>
        <w:ind w:firstLine="465"/>
        <w:rPr>
          <w:color w:val="auto"/>
          <w:highlight w:val="none"/>
        </w:rPr>
      </w:pPr>
      <w:r>
        <w:rPr>
          <w:rFonts w:hint="eastAsia" w:ascii="微软雅黑" w:hAnsi="微软雅黑" w:eastAsia="微软雅黑" w:cs="微软雅黑"/>
          <w:color w:val="auto"/>
          <w:sz w:val="24"/>
          <w:szCs w:val="24"/>
          <w:highlight w:val="none"/>
        </w:rPr>
        <w:t>（十二）代理机构被列入失信被执行人、重大税收违法案件当事人名单、政府采购严重违法失信行为记录名单及其他不符合《中华人民共和国政府采购法》第二十二条规定条件的。</w:t>
      </w:r>
    </w:p>
    <w:p w14:paraId="478465C9">
      <w:pPr>
        <w:pStyle w:val="3"/>
        <w:spacing w:line="400" w:lineRule="exact"/>
        <w:rPr>
          <w:rFonts w:hint="eastAsia" w:ascii="微软雅黑" w:hAnsi="微软雅黑" w:eastAsia="微软雅黑" w:cs="微软雅黑"/>
          <w:color w:val="auto"/>
          <w:sz w:val="24"/>
          <w:szCs w:val="24"/>
          <w:highlight w:val="none"/>
        </w:rPr>
      </w:pPr>
      <w:bookmarkStart w:id="53" w:name="_Toc9239"/>
      <w:r>
        <w:rPr>
          <w:rFonts w:hint="eastAsia" w:ascii="微软雅黑" w:hAnsi="微软雅黑" w:eastAsia="微软雅黑" w:cs="微软雅黑"/>
          <w:color w:val="auto"/>
          <w:sz w:val="24"/>
          <w:szCs w:val="24"/>
          <w:highlight w:val="none"/>
        </w:rPr>
        <w:t>四、</w:t>
      </w:r>
      <w:bookmarkEnd w:id="49"/>
      <w:bookmarkEnd w:id="50"/>
      <w:r>
        <w:rPr>
          <w:rFonts w:hint="eastAsia" w:ascii="微软雅黑" w:hAnsi="微软雅黑" w:eastAsia="微软雅黑" w:cs="微软雅黑"/>
          <w:color w:val="auto"/>
          <w:sz w:val="24"/>
          <w:szCs w:val="24"/>
          <w:highlight w:val="none"/>
        </w:rPr>
        <w:t>采购终止</w:t>
      </w:r>
      <w:bookmarkEnd w:id="53"/>
    </w:p>
    <w:p w14:paraId="6D66C14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出现下列情形之一的，采购人应当终止竞争性比选采购活动，发布项目终止公告并说明原因，重新开展采购活动：</w:t>
      </w:r>
    </w:p>
    <w:p w14:paraId="0977FE9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（一）因情况变化，不再符合规定的竞争性比选采购方式适用情形的；</w:t>
      </w:r>
    </w:p>
    <w:p w14:paraId="2A42C80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1FED8E5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w:t>
      </w:r>
      <w:r>
        <w:rPr>
          <w:rFonts w:hint="eastAsia" w:ascii="微软雅黑" w:hAnsi="微软雅黑" w:eastAsia="微软雅黑" w:cs="微软雅黑"/>
          <w:color w:val="auto"/>
          <w:sz w:val="24"/>
          <w:szCs w:val="24"/>
          <w:highlight w:val="none"/>
          <w:lang w:val="en-US" w:eastAsia="zh-CN"/>
        </w:rPr>
        <w:t>比选文件实质性</w:t>
      </w:r>
      <w:r>
        <w:rPr>
          <w:rFonts w:hint="eastAsia" w:ascii="微软雅黑" w:hAnsi="微软雅黑" w:eastAsia="微软雅黑" w:cs="微软雅黑"/>
          <w:color w:val="auto"/>
          <w:sz w:val="24"/>
          <w:szCs w:val="24"/>
          <w:highlight w:val="none"/>
        </w:rPr>
        <w:t>要求的代理机构或者报价未超过最高限价的代理机构不足3家。</w:t>
      </w:r>
      <w:bookmarkStart w:id="54" w:name="_Toc102227313"/>
      <w:bookmarkStart w:id="55" w:name="_Toc25083"/>
      <w:bookmarkStart w:id="56" w:name="_Toc11641055"/>
      <w:bookmarkStart w:id="57" w:name="_Toc12789059"/>
    </w:p>
    <w:p w14:paraId="03C8732E">
      <w:pPr>
        <w:pStyle w:val="2"/>
        <w:spacing w:line="360" w:lineRule="auto"/>
        <w:jc w:val="center"/>
        <w:rPr>
          <w:rFonts w:hint="eastAsia" w:ascii="微软雅黑" w:hAnsi="微软雅黑" w:eastAsia="微软雅黑" w:cs="微软雅黑"/>
          <w:b w:val="0"/>
          <w:color w:val="auto"/>
          <w:szCs w:val="30"/>
          <w:highlight w:val="none"/>
        </w:rPr>
      </w:pPr>
      <w:r>
        <w:rPr>
          <w:rFonts w:hint="eastAsia" w:ascii="微软雅黑" w:hAnsi="微软雅黑" w:eastAsia="微软雅黑" w:cs="微软雅黑"/>
          <w:b w:val="0"/>
          <w:color w:val="auto"/>
          <w:sz w:val="36"/>
          <w:szCs w:val="30"/>
          <w:highlight w:val="none"/>
        </w:rPr>
        <w:br w:type="page"/>
      </w:r>
      <w:bookmarkStart w:id="58" w:name="_Toc25117"/>
      <w:r>
        <w:rPr>
          <w:rFonts w:hint="eastAsia" w:ascii="微软雅黑" w:hAnsi="微软雅黑" w:eastAsia="微软雅黑" w:cs="微软雅黑"/>
          <w:b w:val="0"/>
          <w:color w:val="auto"/>
          <w:sz w:val="36"/>
          <w:szCs w:val="30"/>
          <w:highlight w:val="none"/>
        </w:rPr>
        <w:t>第四篇  代理机构须知</w:t>
      </w:r>
      <w:bookmarkEnd w:id="54"/>
      <w:bookmarkEnd w:id="55"/>
      <w:bookmarkEnd w:id="58"/>
    </w:p>
    <w:p w14:paraId="28E40893">
      <w:pPr>
        <w:pStyle w:val="3"/>
        <w:spacing w:line="440" w:lineRule="exact"/>
        <w:rPr>
          <w:rFonts w:hint="eastAsia" w:ascii="微软雅黑" w:hAnsi="微软雅黑" w:eastAsia="微软雅黑" w:cs="微软雅黑"/>
          <w:color w:val="auto"/>
          <w:sz w:val="24"/>
          <w:szCs w:val="24"/>
          <w:highlight w:val="none"/>
        </w:rPr>
      </w:pPr>
      <w:bookmarkStart w:id="59" w:name="_Toc9003"/>
      <w:bookmarkStart w:id="60" w:name="_Toc6062"/>
      <w:bookmarkStart w:id="61" w:name="_Toc342913389"/>
      <w:r>
        <w:rPr>
          <w:rFonts w:hint="eastAsia" w:ascii="微软雅黑" w:hAnsi="微软雅黑" w:eastAsia="微软雅黑" w:cs="微软雅黑"/>
          <w:color w:val="auto"/>
          <w:sz w:val="24"/>
          <w:szCs w:val="24"/>
          <w:highlight w:val="none"/>
        </w:rPr>
        <w:t>一、比选费用</w:t>
      </w:r>
      <w:bookmarkEnd w:id="59"/>
      <w:bookmarkEnd w:id="60"/>
      <w:bookmarkEnd w:id="61"/>
    </w:p>
    <w:p w14:paraId="2508383B">
      <w:pPr>
        <w:pStyle w:val="2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参与比选的代理机构应承担其编制比选响应文件与递交比选响应文件所涉及的一切费用，不论比选结果如何，采购人在任何情况下无义务也无责任承担这些费用。</w:t>
      </w:r>
    </w:p>
    <w:p w14:paraId="6474BE27">
      <w:pPr>
        <w:pStyle w:val="3"/>
        <w:tabs>
          <w:tab w:val="left" w:pos="2640"/>
        </w:tabs>
        <w:spacing w:line="400" w:lineRule="exact"/>
        <w:rPr>
          <w:rFonts w:hint="eastAsia" w:ascii="微软雅黑" w:hAnsi="微软雅黑" w:eastAsia="微软雅黑" w:cs="微软雅黑"/>
          <w:color w:val="auto"/>
          <w:sz w:val="24"/>
          <w:szCs w:val="24"/>
          <w:highlight w:val="none"/>
        </w:rPr>
      </w:pPr>
      <w:bookmarkStart w:id="62" w:name="_Toc342913391"/>
      <w:bookmarkStart w:id="63" w:name="_Toc19556"/>
      <w:bookmarkStart w:id="64" w:name="_Toc27068"/>
      <w:r>
        <w:rPr>
          <w:rFonts w:hint="eastAsia" w:ascii="微软雅黑" w:hAnsi="微软雅黑" w:eastAsia="微软雅黑" w:cs="微软雅黑"/>
          <w:color w:val="auto"/>
          <w:sz w:val="24"/>
          <w:szCs w:val="24"/>
          <w:highlight w:val="none"/>
        </w:rPr>
        <w:t>二、竞争性比选文件</w:t>
      </w:r>
      <w:bookmarkEnd w:id="62"/>
      <w:bookmarkEnd w:id="63"/>
      <w:bookmarkEnd w:id="64"/>
    </w:p>
    <w:p w14:paraId="2484A3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（一）竞争性比选文件由采购邀请书、项目服务需求、项目商务需求、竞选程序及方法、评审标准、无效响应和采购终止、代理机构须知、政府采购合同、比选响应文件编制要求七部分组成。</w:t>
      </w:r>
    </w:p>
    <w:p w14:paraId="5CD3D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（二）采购人所作的一切有效的书面通知、修改及补充，都是竞争性比选文件不可分割的部分。</w:t>
      </w:r>
    </w:p>
    <w:p w14:paraId="0E036A2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65" w:name="_Toc318159160"/>
      <w:bookmarkStart w:id="66" w:name="_Toc318159349"/>
      <w:bookmarkStart w:id="67" w:name="_Toc318166429"/>
      <w:bookmarkStart w:id="68" w:name="_Toc318159780"/>
      <w:r>
        <w:rPr>
          <w:rFonts w:hint="eastAsia" w:ascii="微软雅黑" w:hAnsi="微软雅黑" w:eastAsia="微软雅黑" w:cs="微软雅黑"/>
          <w:color w:val="auto"/>
          <w:sz w:val="24"/>
          <w:szCs w:val="24"/>
          <w:highlight w:val="none"/>
        </w:rPr>
        <w:t>（三）竞争性比选文件的解释</w:t>
      </w:r>
    </w:p>
    <w:p w14:paraId="4C2978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如对竞争性比选文件有疑问，必须以书面形式在提交比选响应文件截止时间3个工作日前向采购人要求澄清，采购人可视具体情况做出处理或答复。如代理机构未提出疑问，视为完全理解并同意本竞争性比选文件。一经进入比选程序，即视为代理机构已详细阅读全部文件资料，完全理解竞争性比选文件所有条款内容并同意放弃对这方面有不明白及误解的权利。</w:t>
      </w:r>
    </w:p>
    <w:p w14:paraId="505A9913">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四）评审的依据为竞争性比选文件和比选响应文件（含有效的书面承诺）。比选小组判断比选响应文件对竞争性比选文件的响应，仅基于比选响应文件本身而不靠外部证据（本比选文件第三篇澄清有关问题除外）。</w:t>
      </w:r>
    </w:p>
    <w:bookmarkEnd w:id="65"/>
    <w:bookmarkEnd w:id="66"/>
    <w:bookmarkEnd w:id="67"/>
    <w:bookmarkEnd w:id="68"/>
    <w:p w14:paraId="30E1A718">
      <w:pPr>
        <w:pStyle w:val="3"/>
        <w:spacing w:line="400" w:lineRule="exact"/>
        <w:rPr>
          <w:rFonts w:hint="eastAsia" w:ascii="微软雅黑" w:hAnsi="微软雅黑" w:eastAsia="微软雅黑" w:cs="微软雅黑"/>
          <w:color w:val="auto"/>
          <w:sz w:val="24"/>
          <w:szCs w:val="24"/>
          <w:highlight w:val="none"/>
        </w:rPr>
      </w:pPr>
      <w:bookmarkStart w:id="69" w:name="_Toc179714297"/>
      <w:bookmarkStart w:id="70" w:name="_Toc27595"/>
      <w:bookmarkStart w:id="71" w:name="_Toc102227318"/>
      <w:bookmarkStart w:id="72" w:name="_Toc5693"/>
      <w:bookmarkStart w:id="73" w:name="_Toc342913392"/>
      <w:r>
        <w:rPr>
          <w:rFonts w:hint="eastAsia" w:ascii="微软雅黑" w:hAnsi="微软雅黑" w:eastAsia="微软雅黑" w:cs="微软雅黑"/>
          <w:color w:val="auto"/>
          <w:sz w:val="24"/>
          <w:szCs w:val="24"/>
          <w:highlight w:val="none"/>
        </w:rPr>
        <w:t>三、比选要求</w:t>
      </w:r>
      <w:bookmarkEnd w:id="69"/>
      <w:bookmarkEnd w:id="70"/>
      <w:bookmarkEnd w:id="71"/>
      <w:bookmarkEnd w:id="72"/>
      <w:bookmarkEnd w:id="73"/>
    </w:p>
    <w:p w14:paraId="55FECEC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（一）比选响应文件</w:t>
      </w:r>
    </w:p>
    <w:p w14:paraId="32C5EE5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1、代理机构应当按照竞争性比选文件的要求编制比选响应文件，并对竞争性比选文件提出的要求和条件作出实质性响应，比选响应文件原则上采用软面订本，同时应编制完整的页码、目录。</w:t>
      </w:r>
    </w:p>
    <w:p w14:paraId="66B70F5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2、比选响应文件组成</w:t>
      </w:r>
    </w:p>
    <w:p w14:paraId="6B2B65A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响应文件由第五篇“比选响应文件编制要求”规定的部分和代理机构所作的一切有效补充、修改和承诺等文件组成，代理机构应按照第五篇“比选响应文件编制要求”规定的目录顺序组织编写和装订，也可在基本格式基础上对表格进行扩展，未规定格式的由代理机构自定格式。</w:t>
      </w:r>
    </w:p>
    <w:p w14:paraId="112A586F">
      <w:pPr>
        <w:numPr>
          <w:ilvl w:val="0"/>
          <w:numId w:val="2"/>
        </w:num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w:t>
      </w:r>
    </w:p>
    <w:p w14:paraId="3FF39C6D">
      <w:pPr>
        <w:spacing w:line="400" w:lineRule="exact"/>
        <w:ind w:firstLine="480" w:firstLineChars="200"/>
        <w:rPr>
          <w:color w:val="auto"/>
          <w:highlight w:val="none"/>
        </w:rPr>
      </w:pPr>
      <w:r>
        <w:rPr>
          <w:rFonts w:hint="eastAsia" w:ascii="微软雅黑" w:hAnsi="微软雅黑" w:eastAsia="微软雅黑" w:cs="微软雅黑"/>
          <w:color w:val="auto"/>
          <w:sz w:val="24"/>
          <w:szCs w:val="24"/>
          <w:highlight w:val="none"/>
        </w:rPr>
        <w:t>本项目不接受联合体参与比选。</w:t>
      </w:r>
    </w:p>
    <w:p w14:paraId="1F16FB2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（三）比选有效期：比选响应文件及有关承诺文件有效期为提交比选响应文件截止时间起90天。</w:t>
      </w:r>
    </w:p>
    <w:p w14:paraId="08D1219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0F3AC2D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1、若代理机构所递交的比选响应文件中的价格出现大写金额和小写金额不一致的错误，以大写金额修正为准。</w:t>
      </w:r>
    </w:p>
    <w:p w14:paraId="12180B2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2、比选小组按上述修正错误的原则及方法修正代理机构的报价，代理机构同意并签字确认后，修正后的报价对代理机构具有约束作用。如果代理机构不接受修正后的价格，将失去成为成交代理机构的资格。</w:t>
      </w:r>
    </w:p>
    <w:p w14:paraId="62450F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（五）提交比选响应文件的份数和签署</w:t>
      </w:r>
    </w:p>
    <w:p w14:paraId="320C8E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w:t>
      </w:r>
      <w:r>
        <w:rPr>
          <w:rFonts w:hint="eastAsia" w:ascii="微软雅黑" w:hAnsi="微软雅黑" w:eastAsia="微软雅黑" w:cs="微软雅黑"/>
          <w:color w:val="auto"/>
          <w:sz w:val="24"/>
          <w:szCs w:val="24"/>
          <w:highlight w:val="none"/>
          <w:lang w:val="en-US" w:eastAsia="zh-CN"/>
        </w:rPr>
        <w:t>肆</w:t>
      </w:r>
      <w:r>
        <w:rPr>
          <w:rFonts w:hint="eastAsia" w:ascii="微软雅黑" w:hAnsi="微软雅黑" w:eastAsia="微软雅黑" w:cs="微软雅黑"/>
          <w:color w:val="auto"/>
          <w:sz w:val="24"/>
          <w:szCs w:val="24"/>
          <w:highlight w:val="none"/>
        </w:rPr>
        <w:t>份，其中正本一份，副本2份，电子文档一份（电子文档内容应与纸质文件正本一致，如不一致以纸质文件正本为准。推荐采用</w:t>
      </w:r>
      <w:r>
        <w:rPr>
          <w:rFonts w:hint="eastAsia" w:ascii="微软雅黑" w:hAnsi="微软雅黑" w:eastAsia="微软雅黑" w:cs="微软雅黑"/>
          <w:b/>
          <w:bCs/>
          <w:color w:val="auto"/>
          <w:sz w:val="24"/>
          <w:szCs w:val="24"/>
          <w:highlight w:val="none"/>
        </w:rPr>
        <w:t>U盘</w:t>
      </w:r>
      <w:r>
        <w:rPr>
          <w:rFonts w:hint="eastAsia" w:ascii="微软雅黑" w:hAnsi="微软雅黑" w:eastAsia="微软雅黑" w:cs="微软雅黑"/>
          <w:color w:val="auto"/>
          <w:sz w:val="24"/>
          <w:szCs w:val="24"/>
          <w:highlight w:val="none"/>
        </w:rPr>
        <w:t>为电子文档载体）；副本可为正本的复印件，应与正本一致，如出现不一致情况以正本为准。</w:t>
      </w:r>
    </w:p>
    <w:p w14:paraId="4E9D24F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highlight w:val="none"/>
        </w:rPr>
        <w:t>在比选响应文件正本中，竞争性比选文件第五篇比选响应文件编制要求中规定签署、盖章的地方必须按其规定签署、盖章。</w:t>
      </w:r>
    </w:p>
    <w:p w14:paraId="0F2092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（六）比选响应文件的递交</w:t>
      </w:r>
    </w:p>
    <w:p w14:paraId="3AE9F13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 比选响应文件的密封与标记</w:t>
      </w:r>
    </w:p>
    <w:p w14:paraId="107118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1.1比选响应文件的正本、副本、电子文档均应密封送达比选地点，应在封套上注明比选项目名称、代理机构名称。若正本、副本分别进行密封的，还应在封套上注明“正本”、“副本”、“电子文档”字样。</w:t>
      </w:r>
    </w:p>
    <w:p w14:paraId="5377CD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（七）代理机构参与人员</w:t>
      </w:r>
    </w:p>
    <w:p w14:paraId="57A742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各个代理机构可根据采购人要求派1名代表参与比选，应为法定代表人（或负责人）或具有法定代表人（或负责人）授权委托书的授权代表。</w:t>
      </w:r>
    </w:p>
    <w:p w14:paraId="7199EEE4">
      <w:pPr>
        <w:pStyle w:val="3"/>
        <w:spacing w:line="400" w:lineRule="exact"/>
        <w:rPr>
          <w:rFonts w:hint="eastAsia" w:ascii="微软雅黑" w:hAnsi="微软雅黑" w:eastAsia="微软雅黑" w:cs="微软雅黑"/>
          <w:color w:val="auto"/>
          <w:sz w:val="24"/>
          <w:szCs w:val="24"/>
          <w:highlight w:val="none"/>
        </w:rPr>
      </w:pPr>
      <w:bookmarkStart w:id="74" w:name="_Toc30700"/>
      <w:bookmarkStart w:id="75" w:name="_Toc22541"/>
      <w:r>
        <w:rPr>
          <w:rFonts w:hint="eastAsia" w:ascii="微软雅黑" w:hAnsi="微软雅黑" w:eastAsia="微软雅黑" w:cs="微软雅黑"/>
          <w:color w:val="auto"/>
          <w:sz w:val="24"/>
          <w:szCs w:val="24"/>
          <w:highlight w:val="none"/>
        </w:rPr>
        <w:t>四、成交代理机构的确认和变更</w:t>
      </w:r>
      <w:bookmarkEnd w:id="74"/>
      <w:bookmarkEnd w:id="75"/>
    </w:p>
    <w:p w14:paraId="5267300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（一）中选人的确认</w:t>
      </w:r>
    </w:p>
    <w:p w14:paraId="7ED05A0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应当在收到评审报告后5个工作日内，从评审报告提出的成交候选代理机构中，按照排序由高到低的原则确定中选人，也可以书面授权比选小组直接确定中选人。采购人逾期未确定成交代理机构且不提出异议的，视为确定评审报告提出的排序前三的代理机构为中选人。</w:t>
      </w:r>
    </w:p>
    <w:p w14:paraId="175192F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（二）中选人的变更</w:t>
      </w:r>
    </w:p>
    <w:p w14:paraId="74AFEB0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中选人拒绝与采购人签订合同的，采购人可以按照评标报告推荐的中选人顺序，确定排名下一位的候选人为</w:t>
      </w:r>
      <w:r>
        <w:rPr>
          <w:rFonts w:hint="eastAsia" w:ascii="微软雅黑" w:hAnsi="微软雅黑" w:eastAsia="微软雅黑" w:cs="微软雅黑"/>
          <w:color w:val="auto"/>
          <w:sz w:val="24"/>
          <w:szCs w:val="24"/>
          <w:highlight w:val="none"/>
        </w:rPr>
        <w:t>中选人</w:t>
      </w:r>
      <w:r>
        <w:rPr>
          <w:rFonts w:hint="eastAsia" w:ascii="微软雅黑" w:hAnsi="微软雅黑" w:eastAsia="微软雅黑" w:cs="微软雅黑"/>
          <w:color w:val="auto"/>
          <w:sz w:val="24"/>
          <w:highlight w:val="none"/>
        </w:rPr>
        <w:t>，也可以重新开展采购活动。</w:t>
      </w:r>
    </w:p>
    <w:p w14:paraId="164BF2A8">
      <w:pPr>
        <w:pStyle w:val="3"/>
        <w:spacing w:line="400" w:lineRule="exact"/>
        <w:rPr>
          <w:rFonts w:hint="eastAsia" w:ascii="微软雅黑" w:hAnsi="微软雅黑" w:eastAsia="微软雅黑" w:cs="微软雅黑"/>
          <w:color w:val="auto"/>
          <w:sz w:val="24"/>
          <w:szCs w:val="24"/>
          <w:highlight w:val="none"/>
        </w:rPr>
      </w:pPr>
      <w:bookmarkStart w:id="76" w:name="_Toc342913395"/>
      <w:bookmarkStart w:id="77" w:name="_Toc8404"/>
      <w:bookmarkStart w:id="78" w:name="_Toc28602"/>
      <w:bookmarkStart w:id="79" w:name="_Toc102227321"/>
      <w:r>
        <w:rPr>
          <w:rFonts w:hint="eastAsia" w:ascii="微软雅黑" w:hAnsi="微软雅黑" w:eastAsia="微软雅黑" w:cs="微软雅黑"/>
          <w:color w:val="auto"/>
          <w:sz w:val="24"/>
          <w:szCs w:val="24"/>
          <w:highlight w:val="none"/>
        </w:rPr>
        <w:t>五、成交通知</w:t>
      </w:r>
      <w:bookmarkEnd w:id="76"/>
      <w:bookmarkEnd w:id="77"/>
      <w:bookmarkEnd w:id="78"/>
      <w:bookmarkEnd w:id="79"/>
    </w:p>
    <w:p w14:paraId="49FABBB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（一）采购人将在重庆两江新区人民医院官网上发布成交结果公告。</w:t>
      </w:r>
    </w:p>
    <w:p w14:paraId="550FE00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（二）结果公告发出同时，采购人将以书面形式或口头通知发出中选通知。中选通知一经发出即发生法律效力。</w:t>
      </w:r>
    </w:p>
    <w:p w14:paraId="07E16459">
      <w:pPr>
        <w:pStyle w:val="3"/>
        <w:spacing w:line="400" w:lineRule="exact"/>
        <w:rPr>
          <w:rFonts w:hint="eastAsia" w:ascii="微软雅黑" w:hAnsi="微软雅黑" w:eastAsia="微软雅黑" w:cs="微软雅黑"/>
          <w:color w:val="auto"/>
          <w:sz w:val="24"/>
          <w:szCs w:val="24"/>
          <w:highlight w:val="none"/>
        </w:rPr>
      </w:pPr>
      <w:bookmarkStart w:id="80" w:name="_Toc102227322"/>
      <w:bookmarkStart w:id="81" w:name="_Toc342913396"/>
      <w:bookmarkStart w:id="82" w:name="_Toc31344"/>
      <w:bookmarkStart w:id="83" w:name="_Toc3328"/>
      <w:r>
        <w:rPr>
          <w:rFonts w:hint="eastAsia" w:ascii="微软雅黑" w:hAnsi="微软雅黑" w:eastAsia="微软雅黑" w:cs="微软雅黑"/>
          <w:color w:val="auto"/>
          <w:sz w:val="24"/>
          <w:szCs w:val="24"/>
          <w:highlight w:val="none"/>
        </w:rPr>
        <w:t>六、签订</w:t>
      </w:r>
      <w:bookmarkEnd w:id="80"/>
      <w:r>
        <w:rPr>
          <w:rFonts w:hint="eastAsia" w:ascii="微软雅黑" w:hAnsi="微软雅黑" w:eastAsia="微软雅黑" w:cs="微软雅黑"/>
          <w:color w:val="auto"/>
          <w:sz w:val="24"/>
          <w:szCs w:val="24"/>
          <w:highlight w:val="none"/>
        </w:rPr>
        <w:t>合同</w:t>
      </w:r>
      <w:bookmarkEnd w:id="81"/>
      <w:bookmarkEnd w:id="82"/>
      <w:bookmarkEnd w:id="83"/>
    </w:p>
    <w:p w14:paraId="642C96E7">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（一）采购人原则上应在成交通知书发出之日起</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 xml:space="preserve">十日内和成交代理机构签订采购合同，无正当理由不得拒绝或拖延合同签订。所签订的合同不得对竞争性比选文件和代理机构的比选响应文件作实质性修改。其他未尽事宜由采购人和成交代理机构在采购合同中详细约定。   </w:t>
      </w:r>
    </w:p>
    <w:p w14:paraId="00868FE4">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（二）竞争性比选文件、代理机构的比选响应文件及澄清文件等，均为签订采购合同的依据。</w:t>
      </w:r>
    </w:p>
    <w:p w14:paraId="5D8895AD">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47F99B72">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（四）合同原则上应按采购人提供的合同文件签订，相关单位要求适用合同通用格式版本的，应按其要求另行签订其他合同。</w:t>
      </w:r>
    </w:p>
    <w:p w14:paraId="6F5DFCD3">
      <w:pPr>
        <w:numPr>
          <w:ilvl w:val="0"/>
          <w:numId w:val="3"/>
        </w:numPr>
        <w:jc w:val="center"/>
        <w:outlineLvl w:val="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6"/>
          <w:highlight w:val="none"/>
        </w:rPr>
        <w:br w:type="page"/>
      </w:r>
      <w:bookmarkEnd w:id="56"/>
      <w:bookmarkEnd w:id="57"/>
      <w:bookmarkStart w:id="84" w:name="_Hlt41879464"/>
      <w:bookmarkEnd w:id="84"/>
      <w:bookmarkStart w:id="85" w:name="_Toc12789072"/>
      <w:r>
        <w:rPr>
          <w:rFonts w:hint="eastAsia" w:ascii="微软雅黑" w:hAnsi="微软雅黑" w:eastAsia="微软雅黑" w:cs="微软雅黑"/>
          <w:color w:val="auto"/>
          <w:sz w:val="36"/>
          <w:szCs w:val="30"/>
          <w:highlight w:val="none"/>
        </w:rPr>
        <w:t xml:space="preserve"> </w:t>
      </w:r>
      <w:bookmarkEnd w:id="85"/>
      <w:r>
        <w:rPr>
          <w:rFonts w:hint="eastAsia" w:ascii="微软雅黑" w:hAnsi="微软雅黑" w:eastAsia="微软雅黑" w:cs="微软雅黑"/>
          <w:color w:val="auto"/>
          <w:sz w:val="36"/>
          <w:szCs w:val="30"/>
          <w:highlight w:val="none"/>
        </w:rPr>
        <w:t>比选响应文件编制要求</w:t>
      </w:r>
    </w:p>
    <w:p w14:paraId="6CAE0FB9">
      <w:pPr>
        <w:pStyle w:val="5"/>
        <w:rPr>
          <w:color w:val="auto"/>
          <w:highlight w:val="none"/>
        </w:rPr>
      </w:pPr>
    </w:p>
    <w:p w14:paraId="2156BEE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一、响应文件封面</w:t>
      </w:r>
    </w:p>
    <w:p w14:paraId="26D61B8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二、经济部分</w:t>
      </w:r>
    </w:p>
    <w:p w14:paraId="148F1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三、服务响应偏离表</w:t>
      </w:r>
    </w:p>
    <w:p w14:paraId="73A6106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6707798A">
      <w:pPr>
        <w:spacing w:line="440" w:lineRule="exact"/>
        <w:ind w:firstLine="480" w:firstLineChars="200"/>
        <w:rPr>
          <w:rFonts w:hint="eastAsia" w:ascii="微软雅黑" w:hAnsi="微软雅黑" w:eastAsia="微软雅黑" w:cs="微软雅黑"/>
          <w:color w:val="auto"/>
          <w:sz w:val="24"/>
          <w:szCs w:val="24"/>
          <w:highlight w:val="none"/>
        </w:rPr>
      </w:pPr>
      <w:bookmarkStart w:id="86" w:name="_Toc342913419"/>
      <w:bookmarkStart w:id="87" w:name="_Toc313888360"/>
      <w:bookmarkStart w:id="88" w:name="_Toc313008356"/>
      <w:bookmarkStart w:id="89" w:name="_Toc12789073"/>
      <w:bookmarkStart w:id="90" w:name="_Toc283382454"/>
      <w:r>
        <w:rPr>
          <w:rFonts w:hint="eastAsia" w:ascii="微软雅黑" w:hAnsi="微软雅黑" w:eastAsia="微软雅黑" w:cs="微软雅黑"/>
          <w:color w:val="auto"/>
          <w:sz w:val="24"/>
          <w:szCs w:val="24"/>
          <w:highlight w:val="none"/>
        </w:rPr>
        <w:t>（一）一般资格条件</w:t>
      </w:r>
    </w:p>
    <w:p w14:paraId="4D0C2E8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739F0496">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w:t>
      </w:r>
    </w:p>
    <w:p w14:paraId="3D3F539A">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（四）其他应提供的资料</w:t>
      </w:r>
    </w:p>
    <w:p w14:paraId="70BBFC23">
      <w:pPr>
        <w:spacing w:line="48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p>
    <w:p w14:paraId="4975ABBC">
      <w:pPr>
        <w:pStyle w:val="6"/>
        <w:rPr>
          <w:rFonts w:hint="eastAsia" w:ascii="微软雅黑" w:hAnsi="微软雅黑" w:eastAsia="微软雅黑" w:cs="微软雅黑"/>
          <w:color w:val="auto"/>
          <w:szCs w:val="24"/>
          <w:highlight w:val="none"/>
        </w:rPr>
      </w:pPr>
    </w:p>
    <w:p w14:paraId="2EED2AA1">
      <w:pPr>
        <w:pStyle w:val="6"/>
        <w:rPr>
          <w:rFonts w:hint="eastAsia" w:ascii="微软雅黑" w:hAnsi="微软雅黑" w:eastAsia="微软雅黑" w:cs="微软雅黑"/>
          <w:color w:val="auto"/>
          <w:szCs w:val="24"/>
          <w:highlight w:val="none"/>
        </w:rPr>
      </w:pPr>
    </w:p>
    <w:p w14:paraId="52D63A3B">
      <w:pPr>
        <w:pStyle w:val="6"/>
        <w:rPr>
          <w:rFonts w:hint="eastAsia" w:ascii="微软雅黑" w:hAnsi="微软雅黑" w:eastAsia="微软雅黑" w:cs="微软雅黑"/>
          <w:color w:val="auto"/>
          <w:szCs w:val="24"/>
          <w:highlight w:val="none"/>
        </w:rPr>
      </w:pPr>
    </w:p>
    <w:p w14:paraId="18CDE4F9">
      <w:pPr>
        <w:pStyle w:val="6"/>
        <w:rPr>
          <w:rFonts w:hint="eastAsia" w:ascii="微软雅黑" w:hAnsi="微软雅黑" w:eastAsia="微软雅黑" w:cs="微软雅黑"/>
          <w:color w:val="auto"/>
          <w:szCs w:val="24"/>
          <w:highlight w:val="none"/>
        </w:rPr>
      </w:pPr>
    </w:p>
    <w:p w14:paraId="15527ED3">
      <w:pPr>
        <w:pStyle w:val="6"/>
        <w:rPr>
          <w:rFonts w:hint="eastAsia" w:ascii="微软雅黑" w:hAnsi="微软雅黑" w:eastAsia="微软雅黑" w:cs="微软雅黑"/>
          <w:color w:val="auto"/>
          <w:szCs w:val="24"/>
          <w:highlight w:val="none"/>
        </w:rPr>
      </w:pPr>
    </w:p>
    <w:p w14:paraId="07846145">
      <w:pPr>
        <w:pStyle w:val="6"/>
        <w:rPr>
          <w:rFonts w:hint="eastAsia" w:ascii="微软雅黑" w:hAnsi="微软雅黑" w:eastAsia="微软雅黑" w:cs="微软雅黑"/>
          <w:color w:val="auto"/>
          <w:szCs w:val="24"/>
          <w:highlight w:val="none"/>
        </w:rPr>
      </w:pPr>
    </w:p>
    <w:p w14:paraId="6FB6994F">
      <w:pPr>
        <w:pStyle w:val="6"/>
        <w:rPr>
          <w:rFonts w:hint="eastAsia" w:ascii="微软雅黑" w:hAnsi="微软雅黑" w:eastAsia="微软雅黑" w:cs="微软雅黑"/>
          <w:color w:val="auto"/>
          <w:szCs w:val="24"/>
          <w:highlight w:val="none"/>
        </w:rPr>
      </w:pPr>
    </w:p>
    <w:p w14:paraId="22F535A6">
      <w:pPr>
        <w:pStyle w:val="6"/>
        <w:rPr>
          <w:rFonts w:hint="eastAsia" w:ascii="微软雅黑" w:hAnsi="微软雅黑" w:eastAsia="微软雅黑" w:cs="微软雅黑"/>
          <w:color w:val="auto"/>
          <w:szCs w:val="24"/>
          <w:highlight w:val="none"/>
        </w:rPr>
      </w:pPr>
    </w:p>
    <w:p w14:paraId="44BB22FF">
      <w:pPr>
        <w:pStyle w:val="6"/>
        <w:rPr>
          <w:rFonts w:hint="eastAsia" w:ascii="微软雅黑" w:hAnsi="微软雅黑" w:eastAsia="微软雅黑" w:cs="微软雅黑"/>
          <w:color w:val="auto"/>
          <w:szCs w:val="24"/>
          <w:highlight w:val="none"/>
        </w:rPr>
      </w:pPr>
    </w:p>
    <w:p w14:paraId="59DC54BF">
      <w:pPr>
        <w:pStyle w:val="6"/>
        <w:rPr>
          <w:rFonts w:hint="eastAsia" w:ascii="微软雅黑" w:hAnsi="微软雅黑" w:eastAsia="微软雅黑" w:cs="微软雅黑"/>
          <w:color w:val="auto"/>
          <w:szCs w:val="24"/>
          <w:highlight w:val="none"/>
        </w:rPr>
      </w:pPr>
    </w:p>
    <w:p w14:paraId="4A8191F6">
      <w:pPr>
        <w:pStyle w:val="6"/>
        <w:rPr>
          <w:rFonts w:hint="eastAsia" w:ascii="微软雅黑" w:hAnsi="微软雅黑" w:eastAsia="微软雅黑" w:cs="微软雅黑"/>
          <w:color w:val="auto"/>
          <w:szCs w:val="24"/>
          <w:highlight w:val="none"/>
        </w:rPr>
      </w:pPr>
    </w:p>
    <w:p w14:paraId="6BF999B9">
      <w:pPr>
        <w:pStyle w:val="6"/>
        <w:rPr>
          <w:rFonts w:hint="eastAsia" w:ascii="微软雅黑" w:hAnsi="微软雅黑" w:eastAsia="微软雅黑" w:cs="微软雅黑"/>
          <w:color w:val="auto"/>
          <w:szCs w:val="24"/>
          <w:highlight w:val="none"/>
        </w:rPr>
      </w:pPr>
    </w:p>
    <w:p w14:paraId="348D7FE4">
      <w:pPr>
        <w:rPr>
          <w:color w:val="auto"/>
          <w:highlight w:val="none"/>
        </w:rPr>
      </w:pPr>
    </w:p>
    <w:p w14:paraId="533E9EF2">
      <w:pPr>
        <w:pStyle w:val="5"/>
        <w:rPr>
          <w:color w:val="auto"/>
          <w:highlight w:val="none"/>
        </w:rPr>
      </w:pPr>
    </w:p>
    <w:p w14:paraId="47E0F386">
      <w:pPr>
        <w:pStyle w:val="6"/>
        <w:rPr>
          <w:color w:val="auto"/>
          <w:highlight w:val="none"/>
        </w:rPr>
      </w:pPr>
    </w:p>
    <w:p w14:paraId="69AAA492">
      <w:pPr>
        <w:rPr>
          <w:color w:val="auto"/>
          <w:highlight w:val="none"/>
        </w:rPr>
      </w:pPr>
    </w:p>
    <w:p w14:paraId="4E0133EB">
      <w:pPr>
        <w:pStyle w:val="5"/>
        <w:rPr>
          <w:color w:val="auto"/>
          <w:highlight w:val="none"/>
        </w:rPr>
      </w:pPr>
    </w:p>
    <w:p w14:paraId="7333BBFC">
      <w:pPr>
        <w:pStyle w:val="6"/>
        <w:rPr>
          <w:color w:val="auto"/>
          <w:highlight w:val="none"/>
        </w:rPr>
      </w:pPr>
    </w:p>
    <w:p w14:paraId="7FCBCD04">
      <w:pPr>
        <w:rPr>
          <w:color w:val="auto"/>
          <w:highlight w:val="none"/>
        </w:rPr>
      </w:pPr>
    </w:p>
    <w:p w14:paraId="4E5B4429">
      <w:pPr>
        <w:pStyle w:val="5"/>
        <w:rPr>
          <w:color w:val="auto"/>
          <w:highlight w:val="none"/>
        </w:rPr>
      </w:pPr>
    </w:p>
    <w:p w14:paraId="4CFEFB53">
      <w:pPr>
        <w:pStyle w:val="6"/>
        <w:rPr>
          <w:color w:val="auto"/>
          <w:highlight w:val="none"/>
        </w:rPr>
      </w:pPr>
    </w:p>
    <w:p w14:paraId="00D20784">
      <w:pPr>
        <w:rPr>
          <w:color w:val="auto"/>
          <w:highlight w:val="none"/>
        </w:rPr>
      </w:pPr>
    </w:p>
    <w:p w14:paraId="3EFE71BC">
      <w:pPr>
        <w:pStyle w:val="5"/>
        <w:rPr>
          <w:color w:val="auto"/>
          <w:highlight w:val="none"/>
        </w:rPr>
      </w:pPr>
    </w:p>
    <w:p w14:paraId="679F4E37">
      <w:pPr>
        <w:pStyle w:val="6"/>
        <w:rPr>
          <w:color w:val="auto"/>
          <w:highlight w:val="none"/>
        </w:rPr>
      </w:pPr>
    </w:p>
    <w:p w14:paraId="2B4B2F01">
      <w:pPr>
        <w:rPr>
          <w:color w:val="auto"/>
          <w:highlight w:val="none"/>
        </w:rPr>
      </w:pPr>
    </w:p>
    <w:p w14:paraId="001E37AA">
      <w:pPr>
        <w:pStyle w:val="3"/>
        <w:spacing w:line="480" w:lineRule="exact"/>
        <w:rPr>
          <w:rFonts w:hint="eastAsia" w:ascii="微软雅黑" w:hAnsi="微软雅黑" w:eastAsia="微软雅黑" w:cs="微软雅黑"/>
          <w:b w:val="0"/>
          <w:color w:val="auto"/>
          <w:sz w:val="24"/>
          <w:szCs w:val="24"/>
          <w:highlight w:val="none"/>
        </w:rPr>
      </w:pPr>
      <w:bookmarkStart w:id="91" w:name="_Toc294083526"/>
      <w:bookmarkStart w:id="92" w:name="_Toc377402559"/>
      <w:bookmarkStart w:id="93" w:name="_Toc375840799"/>
      <w:bookmarkStart w:id="94" w:name="_Toc5201"/>
      <w:bookmarkStart w:id="95" w:name="_Toc20656408"/>
      <w:bookmarkStart w:id="96" w:name="_Toc333412485"/>
      <w:bookmarkStart w:id="97" w:name="_Toc328052593"/>
      <w:bookmarkStart w:id="98" w:name="_Toc6818910"/>
      <w:bookmarkStart w:id="99" w:name="_Toc49159317"/>
      <w:bookmarkStart w:id="100" w:name="_Toc21936037"/>
      <w:bookmarkStart w:id="101" w:name="_Toc47955996"/>
      <w:bookmarkStart w:id="102" w:name="_Toc375841207"/>
      <w:bookmarkStart w:id="103" w:name="_Toc350093071"/>
      <w:bookmarkStart w:id="104" w:name="_Toc332630166"/>
      <w:bookmarkStart w:id="105" w:name="_Toc433792168"/>
      <w:bookmarkStart w:id="106" w:name="_Toc27100"/>
      <w:bookmarkStart w:id="107" w:name="_Toc350435647"/>
      <w:bookmarkStart w:id="108" w:name="_Toc30668156"/>
      <w:bookmarkStart w:id="109" w:name="_Toc375666796"/>
      <w:bookmarkStart w:id="110" w:name="_Toc23185485"/>
      <w:bookmarkStart w:id="111" w:name="_Toc29985636"/>
      <w:r>
        <w:rPr>
          <w:rFonts w:hint="eastAsia" w:ascii="微软雅黑" w:hAnsi="微软雅黑" w:eastAsia="微软雅黑" w:cs="微软雅黑"/>
          <w:b w:val="0"/>
          <w:color w:val="auto"/>
          <w:sz w:val="24"/>
          <w:szCs w:val="24"/>
          <w:highlight w:val="none"/>
        </w:rPr>
        <w:t>一</w:t>
      </w:r>
      <w:r>
        <w:rPr>
          <w:rFonts w:hint="eastAsia" w:ascii="微软雅黑" w:hAnsi="微软雅黑" w:eastAsia="微软雅黑" w:cs="微软雅黑"/>
          <w:color w:val="auto"/>
          <w:sz w:val="24"/>
          <w:szCs w:val="24"/>
          <w:highlight w:val="none"/>
        </w:rPr>
        <w:t>、响应文件封面</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830E67">
      <w:pPr>
        <w:rPr>
          <w:rFonts w:hint="eastAsia" w:ascii="微软雅黑" w:hAnsi="微软雅黑" w:eastAsia="微软雅黑" w:cs="微软雅黑"/>
          <w:color w:val="auto"/>
          <w:highlight w:val="none"/>
        </w:rPr>
      </w:pPr>
    </w:p>
    <w:p w14:paraId="2911BD5D">
      <w:pPr>
        <w:tabs>
          <w:tab w:val="left" w:pos="3600"/>
          <w:tab w:val="left" w:pos="4480"/>
          <w:tab w:val="left" w:pos="5360"/>
        </w:tabs>
        <w:autoSpaceDE w:val="0"/>
        <w:autoSpaceDN w:val="0"/>
        <w:adjustRightInd w:val="0"/>
        <w:snapToGrid w:val="0"/>
        <w:spacing w:line="360" w:lineRule="auto"/>
        <w:jc w:val="left"/>
        <w:rPr>
          <w:rFonts w:hint="eastAsia" w:ascii="微软雅黑" w:hAnsi="微软雅黑" w:eastAsia="微软雅黑" w:cs="微软雅黑"/>
          <w:color w:val="auto"/>
          <w:kern w:val="0"/>
          <w:sz w:val="44"/>
          <w:szCs w:val="44"/>
          <w:highlight w:val="none"/>
        </w:rPr>
      </w:pPr>
    </w:p>
    <w:p w14:paraId="6E39A65A">
      <w:pPr>
        <w:tabs>
          <w:tab w:val="left" w:pos="3600"/>
          <w:tab w:val="left" w:pos="4480"/>
          <w:tab w:val="left" w:pos="5360"/>
        </w:tabs>
        <w:autoSpaceDE w:val="0"/>
        <w:autoSpaceDN w:val="0"/>
        <w:adjustRightInd w:val="0"/>
        <w:snapToGrid w:val="0"/>
        <w:spacing w:line="360" w:lineRule="auto"/>
        <w:jc w:val="center"/>
        <w:rPr>
          <w:rFonts w:hint="eastAsia" w:ascii="微软雅黑" w:hAnsi="微软雅黑" w:eastAsia="微软雅黑" w:cs="微软雅黑"/>
          <w:b/>
          <w:color w:val="auto"/>
          <w:kern w:val="0"/>
          <w:sz w:val="84"/>
          <w:szCs w:val="84"/>
          <w:highlight w:val="none"/>
        </w:rPr>
      </w:pPr>
      <w:r>
        <w:rPr>
          <w:rFonts w:hint="eastAsia" w:ascii="微软雅黑" w:hAnsi="微软雅黑" w:eastAsia="微软雅黑" w:cs="微软雅黑"/>
          <w:b/>
          <w:color w:val="auto"/>
          <w:kern w:val="0"/>
          <w:sz w:val="84"/>
          <w:szCs w:val="84"/>
          <w:highlight w:val="none"/>
        </w:rPr>
        <w:t>比选响应文件</w:t>
      </w:r>
    </w:p>
    <w:p w14:paraId="2C2D2943">
      <w:pPr>
        <w:autoSpaceDE w:val="0"/>
        <w:autoSpaceDN w:val="0"/>
        <w:adjustRightInd w:val="0"/>
        <w:snapToGrid w:val="0"/>
        <w:spacing w:line="360" w:lineRule="auto"/>
        <w:jc w:val="left"/>
        <w:rPr>
          <w:rFonts w:hint="eastAsia" w:ascii="微软雅黑" w:hAnsi="微软雅黑" w:eastAsia="微软雅黑" w:cs="微软雅黑"/>
          <w:color w:val="auto"/>
          <w:kern w:val="0"/>
          <w:sz w:val="16"/>
          <w:szCs w:val="16"/>
          <w:highlight w:val="none"/>
        </w:rPr>
      </w:pPr>
    </w:p>
    <w:p w14:paraId="5B42AE05">
      <w:pPr>
        <w:tabs>
          <w:tab w:val="left" w:pos="6904"/>
        </w:tabs>
        <w:autoSpaceDE w:val="0"/>
        <w:autoSpaceDN w:val="0"/>
        <w:adjustRightInd w:val="0"/>
        <w:snapToGrid w:val="0"/>
        <w:spacing w:line="360" w:lineRule="auto"/>
        <w:ind w:firstLine="951" w:firstLineChars="343"/>
        <w:jc w:val="left"/>
        <w:rPr>
          <w:rFonts w:hint="eastAsia" w:ascii="微软雅黑" w:hAnsi="微软雅黑" w:eastAsia="微软雅黑" w:cs="微软雅黑"/>
          <w:b/>
          <w:color w:val="auto"/>
          <w:kern w:val="0"/>
          <w:szCs w:val="28"/>
          <w:highlight w:val="none"/>
        </w:rPr>
      </w:pPr>
      <w:r>
        <w:rPr>
          <w:rFonts w:hint="eastAsia" w:ascii="微软雅黑" w:hAnsi="微软雅黑" w:eastAsia="微软雅黑" w:cs="微软雅黑"/>
          <w:b/>
          <w:color w:val="auto"/>
          <w:w w:val="99"/>
          <w:kern w:val="0"/>
          <w:szCs w:val="28"/>
          <w:highlight w:val="none"/>
        </w:rPr>
        <w:t>项目名称：</w:t>
      </w: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kern w:val="0"/>
          <w:szCs w:val="28"/>
          <w:highlight w:val="none"/>
          <w:u w:val="single"/>
        </w:rPr>
        <w:t xml:space="preserve">               </w:t>
      </w:r>
    </w:p>
    <w:p w14:paraId="496C80F6">
      <w:pPr>
        <w:autoSpaceDE w:val="0"/>
        <w:autoSpaceDN w:val="0"/>
        <w:adjustRightInd w:val="0"/>
        <w:snapToGrid w:val="0"/>
        <w:spacing w:line="360" w:lineRule="auto"/>
        <w:jc w:val="left"/>
        <w:rPr>
          <w:rFonts w:hint="eastAsia" w:ascii="微软雅黑" w:hAnsi="微软雅黑" w:eastAsia="微软雅黑" w:cs="微软雅黑"/>
          <w:b/>
          <w:color w:val="auto"/>
          <w:kern w:val="0"/>
          <w:szCs w:val="28"/>
          <w:highlight w:val="none"/>
        </w:rPr>
      </w:pPr>
    </w:p>
    <w:p w14:paraId="1340E9F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738B3803">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224E277B">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5E12035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605FB83C">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代理机构</w:t>
      </w:r>
      <w:r>
        <w:rPr>
          <w:rFonts w:hint="eastAsia" w:ascii="微软雅黑" w:hAnsi="微软雅黑" w:eastAsia="微软雅黑" w:cs="微软雅黑"/>
          <w:b/>
          <w:color w:val="auto"/>
          <w:spacing w:val="1"/>
          <w:w w:val="99"/>
          <w:kern w:val="0"/>
          <w:szCs w:val="28"/>
          <w:highlight w:val="none"/>
        </w:rPr>
        <w:t>：</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（公章）</w:t>
      </w:r>
    </w:p>
    <w:p w14:paraId="7D7BC38D">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法定代表人(或负责人)或其授权代表：</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（签字）</w:t>
      </w:r>
    </w:p>
    <w:p w14:paraId="60BFD918">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w w:val="99"/>
          <w:kern w:val="0"/>
          <w:szCs w:val="28"/>
          <w:highlight w:val="none"/>
        </w:rPr>
        <w:t>年</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月</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日</w:t>
      </w:r>
    </w:p>
    <w:p w14:paraId="2190BAE2">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kern w:val="0"/>
          <w:szCs w:val="28"/>
          <w:highlight w:val="none"/>
        </w:rPr>
      </w:pPr>
    </w:p>
    <w:p w14:paraId="267221BB">
      <w:pPr>
        <w:pStyle w:val="5"/>
        <w:rPr>
          <w:color w:val="auto"/>
          <w:highlight w:val="none"/>
        </w:rPr>
      </w:pPr>
    </w:p>
    <w:p w14:paraId="40B359EB">
      <w:pPr>
        <w:pStyle w:val="6"/>
        <w:rPr>
          <w:color w:val="auto"/>
          <w:highlight w:val="none"/>
        </w:rPr>
      </w:pPr>
    </w:p>
    <w:p w14:paraId="6BAB9D0E">
      <w:pPr>
        <w:rPr>
          <w:color w:val="auto"/>
          <w:highlight w:val="none"/>
        </w:rPr>
      </w:pPr>
    </w:p>
    <w:p w14:paraId="3E7FC910">
      <w:pPr>
        <w:pStyle w:val="5"/>
        <w:rPr>
          <w:color w:val="auto"/>
          <w:highlight w:val="none"/>
        </w:rPr>
      </w:pPr>
    </w:p>
    <w:p w14:paraId="380F8D0C">
      <w:pPr>
        <w:pStyle w:val="6"/>
        <w:rPr>
          <w:color w:val="auto"/>
          <w:highlight w:val="none"/>
        </w:rPr>
      </w:pPr>
    </w:p>
    <w:p w14:paraId="016119BE">
      <w:pPr>
        <w:rPr>
          <w:color w:val="auto"/>
          <w:highlight w:val="none"/>
        </w:rPr>
      </w:pPr>
    </w:p>
    <w:p w14:paraId="6FA51501">
      <w:pPr>
        <w:pStyle w:val="5"/>
        <w:rPr>
          <w:color w:val="auto"/>
          <w:highlight w:val="none"/>
        </w:rPr>
      </w:pPr>
    </w:p>
    <w:p w14:paraId="71F497E9">
      <w:pPr>
        <w:pStyle w:val="3"/>
        <w:spacing w:line="360" w:lineRule="auto"/>
        <w:rPr>
          <w:rFonts w:hint="eastAsia" w:ascii="微软雅黑" w:hAnsi="微软雅黑" w:eastAsia="微软雅黑" w:cs="微软雅黑"/>
          <w:color w:val="auto"/>
          <w:sz w:val="24"/>
          <w:szCs w:val="24"/>
          <w:highlight w:val="none"/>
        </w:rPr>
      </w:pPr>
      <w:bookmarkStart w:id="112" w:name="_Toc31520"/>
      <w:r>
        <w:rPr>
          <w:rFonts w:hint="eastAsia" w:ascii="微软雅黑" w:hAnsi="微软雅黑" w:eastAsia="微软雅黑" w:cs="微软雅黑"/>
          <w:color w:val="auto"/>
          <w:sz w:val="24"/>
          <w:szCs w:val="24"/>
          <w:highlight w:val="none"/>
        </w:rPr>
        <w:t>二、经济部分</w:t>
      </w:r>
      <w:bookmarkEnd w:id="86"/>
      <w:bookmarkEnd w:id="87"/>
      <w:bookmarkEnd w:id="88"/>
      <w:bookmarkEnd w:id="112"/>
    </w:p>
    <w:bookmarkEnd w:id="89"/>
    <w:bookmarkEnd w:id="90"/>
    <w:p w14:paraId="25C88A40">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（一）竞争性比选报价函</w:t>
      </w:r>
    </w:p>
    <w:p w14:paraId="37E5169F">
      <w:pPr>
        <w:tabs>
          <w:tab w:val="left" w:pos="6300"/>
        </w:tabs>
        <w:snapToGrid w:val="0"/>
        <w:spacing w:line="480" w:lineRule="exact"/>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竞争性比选报价函</w:t>
      </w:r>
    </w:p>
    <w:p w14:paraId="6E1CA0A3">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288CADC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我方收到____________________________（项目名称）的竞争性比选文件，经详细研究，决定参加该项目的比选。</w:t>
      </w:r>
    </w:p>
    <w:p w14:paraId="5B236420">
      <w:pPr>
        <w:tabs>
          <w:tab w:val="left" w:pos="6300"/>
        </w:tabs>
        <w:snapToGrid w:val="0"/>
        <w:spacing w:line="400" w:lineRule="exact"/>
        <w:ind w:firstLine="480" w:firstLineChars="200"/>
        <w:jc w:val="left"/>
        <w:rPr>
          <w:rFonts w:hint="eastAsia" w:ascii="方正仿宋_GBK" w:hAnsi="方正仿宋_GBK" w:eastAsia="微软雅黑" w:cs="方正仿宋_GBK"/>
          <w:b/>
          <w:bCs/>
          <w:color w:val="auto"/>
          <w:sz w:val="24"/>
          <w:szCs w:val="24"/>
          <w:highlight w:val="none"/>
        </w:rPr>
      </w:pPr>
      <w:r>
        <w:rPr>
          <w:rFonts w:hint="eastAsia" w:ascii="微软雅黑" w:hAnsi="微软雅黑" w:eastAsia="微软雅黑" w:cs="微软雅黑"/>
          <w:color w:val="auto"/>
          <w:sz w:val="24"/>
          <w:szCs w:val="24"/>
          <w:highlight w:val="none"/>
        </w:rPr>
        <w:t>1、愿意按照竞争性比选文件中的一切要求，提供本项目的技术服务，报价为招标代理服务费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%的折扣。</w:t>
      </w:r>
    </w:p>
    <w:p w14:paraId="2E58A9B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2、我方现提交的比选响应文件为：比选响应文件正本</w:t>
      </w:r>
      <w:r>
        <w:rPr>
          <w:rFonts w:hint="eastAsia" w:ascii="微软雅黑" w:hAnsi="微软雅黑" w:eastAsia="微软雅黑" w:cs="微软雅黑"/>
          <w:color w:val="auto"/>
          <w:sz w:val="24"/>
          <w:szCs w:val="24"/>
          <w:highlight w:val="none"/>
          <w:u w:val="single"/>
        </w:rPr>
        <w:t xml:space="preserve"> 1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份</w:t>
      </w:r>
      <w:r>
        <w:rPr>
          <w:rFonts w:hint="eastAsia" w:ascii="宋体" w:hAnsi="宋体" w:cs="宋体"/>
          <w:color w:val="auto"/>
          <w:sz w:val="24"/>
          <w:szCs w:val="24"/>
          <w:highlight w:val="none"/>
        </w:rPr>
        <w:t>，</w:t>
      </w:r>
      <w:r>
        <w:rPr>
          <w:rFonts w:hint="eastAsia" w:ascii="微软雅黑" w:hAnsi="微软雅黑" w:eastAsia="微软雅黑" w:cs="微软雅黑"/>
          <w:color w:val="auto"/>
          <w:sz w:val="24"/>
          <w:szCs w:val="24"/>
          <w:highlight w:val="none"/>
        </w:rPr>
        <w:t>电子文档</w:t>
      </w:r>
      <w:r>
        <w:rPr>
          <w:rFonts w:hint="eastAsia" w:ascii="微软雅黑" w:hAnsi="微软雅黑" w:eastAsia="微软雅黑" w:cs="微软雅黑"/>
          <w:color w:val="auto"/>
          <w:sz w:val="24"/>
          <w:szCs w:val="24"/>
          <w:highlight w:val="none"/>
          <w:u w:val="single"/>
        </w:rPr>
        <w:t xml:space="preserve">1 </w:t>
      </w:r>
      <w:r>
        <w:rPr>
          <w:rFonts w:hint="eastAsia" w:ascii="微软雅黑" w:hAnsi="微软雅黑" w:eastAsia="微软雅黑" w:cs="微软雅黑"/>
          <w:color w:val="auto"/>
          <w:sz w:val="24"/>
          <w:szCs w:val="24"/>
          <w:highlight w:val="none"/>
        </w:rPr>
        <w:t>份。</w:t>
      </w:r>
    </w:p>
    <w:p w14:paraId="0B40DB97">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3、我方承诺：本次比选的有效期为提交比选响应文件截止时间起90天。</w:t>
      </w:r>
    </w:p>
    <w:p w14:paraId="7747813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4、我方完全理解和接受贵方竞争性比选文件的一切规定和要求及评审办法。</w:t>
      </w:r>
    </w:p>
    <w:p w14:paraId="1475F7F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5、在整个竞争性比选过程中，我方若有违规行为，接受按照《中华人民共和国政府采购法》及其实施条例等规定给予惩罚。</w:t>
      </w:r>
    </w:p>
    <w:p w14:paraId="4688F3D3">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6、我方若成为成交代理机构，将按照最终比选结果签订合同，并且严格履行合同义务。本承诺函将成为合同不可分割的一部分，与合同具有同等的法律效力。</w:t>
      </w:r>
    </w:p>
    <w:p w14:paraId="6F1DE82D">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7、我方理解，最低报价不是成交的唯一条件</w:t>
      </w:r>
      <w:r>
        <w:rPr>
          <w:rFonts w:hint="eastAsia" w:ascii="微软雅黑" w:hAnsi="微软雅黑" w:eastAsia="微软雅黑" w:cs="微软雅黑"/>
          <w:color w:val="auto"/>
          <w:sz w:val="24"/>
          <w:szCs w:val="28"/>
          <w:highlight w:val="none"/>
        </w:rPr>
        <w:t>。</w:t>
      </w:r>
    </w:p>
    <w:p w14:paraId="1FA2051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42866C2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9、我方不存在单位负责人为同一人或者存在直接控股、管理关系的不同代理机构，参加同一合同项下的采购活动的情况。</w:t>
      </w:r>
    </w:p>
    <w:p w14:paraId="26A64CB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p>
    <w:p w14:paraId="34B31A80">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代理机构（公章）签署：</w:t>
      </w:r>
    </w:p>
    <w:p w14:paraId="4FA3D8AD">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4175231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682EA3E4">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137EE58E">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3B36681F">
      <w:pPr>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w:t>
      </w:r>
    </w:p>
    <w:p w14:paraId="5155F434">
      <w:pPr>
        <w:pStyle w:val="5"/>
        <w:rPr>
          <w:rFonts w:hint="eastAsia" w:ascii="微软雅黑" w:hAnsi="微软雅黑" w:eastAsia="微软雅黑" w:cs="微软雅黑"/>
          <w:color w:val="auto"/>
          <w:sz w:val="24"/>
          <w:szCs w:val="24"/>
          <w:highlight w:val="none"/>
        </w:rPr>
      </w:pPr>
    </w:p>
    <w:p w14:paraId="7C3CCCB5">
      <w:pPr>
        <w:pStyle w:val="5"/>
        <w:rPr>
          <w:color w:val="auto"/>
          <w:highlight w:val="none"/>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03D34097">
      <w:pPr>
        <w:pStyle w:val="3"/>
        <w:spacing w:line="360" w:lineRule="auto"/>
        <w:rPr>
          <w:rFonts w:hint="eastAsia" w:ascii="微软雅黑" w:hAnsi="微软雅黑" w:eastAsia="微软雅黑" w:cs="微软雅黑"/>
          <w:color w:val="auto"/>
          <w:sz w:val="24"/>
          <w:szCs w:val="24"/>
          <w:highlight w:val="none"/>
        </w:rPr>
      </w:pPr>
      <w:bookmarkStart w:id="113" w:name="_Toc313888361"/>
      <w:bookmarkStart w:id="114" w:name="_Toc342913420"/>
      <w:bookmarkStart w:id="115" w:name="_Toc313008357"/>
      <w:bookmarkStart w:id="116" w:name="_Toc15920"/>
      <w:r>
        <w:rPr>
          <w:rFonts w:hint="eastAsia" w:ascii="微软雅黑" w:hAnsi="微软雅黑" w:eastAsia="微软雅黑" w:cs="微软雅黑"/>
          <w:color w:val="auto"/>
          <w:sz w:val="24"/>
          <w:szCs w:val="24"/>
          <w:highlight w:val="none"/>
        </w:rPr>
        <w:t>三、服务部分</w:t>
      </w:r>
      <w:bookmarkEnd w:id="113"/>
      <w:bookmarkEnd w:id="114"/>
      <w:bookmarkEnd w:id="115"/>
      <w:bookmarkEnd w:id="116"/>
    </w:p>
    <w:p w14:paraId="54B795D6">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7E5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42541C2">
            <w:pPr>
              <w:spacing w:line="5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1" w:type="pct"/>
            <w:vAlign w:val="center"/>
          </w:tcPr>
          <w:p w14:paraId="1D33511B">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1600" w:type="pct"/>
            <w:vAlign w:val="center"/>
          </w:tcPr>
          <w:p w14:paraId="171DFDA0">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1199" w:type="pct"/>
            <w:vAlign w:val="center"/>
          </w:tcPr>
          <w:p w14:paraId="5AEB1EE5">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45A1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DFC3B45">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D21255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20A0D4C">
            <w:pPr>
              <w:spacing w:line="500" w:lineRule="exact"/>
              <w:rPr>
                <w:rFonts w:hint="eastAsia" w:ascii="微软雅黑" w:hAnsi="微软雅黑" w:eastAsia="微软雅黑" w:cs="微软雅黑"/>
                <w:color w:val="auto"/>
                <w:sz w:val="21"/>
                <w:szCs w:val="21"/>
                <w:highlight w:val="none"/>
              </w:rPr>
            </w:pPr>
          </w:p>
        </w:tc>
        <w:tc>
          <w:tcPr>
            <w:tcW w:w="1199" w:type="pct"/>
            <w:vAlign w:val="center"/>
          </w:tcPr>
          <w:p w14:paraId="7DAEE21D">
            <w:pPr>
              <w:spacing w:line="500" w:lineRule="exact"/>
              <w:ind w:firstLine="525" w:firstLineChars="250"/>
              <w:rPr>
                <w:rFonts w:hint="eastAsia" w:ascii="微软雅黑" w:hAnsi="微软雅黑" w:eastAsia="微软雅黑" w:cs="微软雅黑"/>
                <w:color w:val="auto"/>
                <w:sz w:val="21"/>
                <w:szCs w:val="21"/>
                <w:highlight w:val="none"/>
              </w:rPr>
            </w:pPr>
          </w:p>
        </w:tc>
      </w:tr>
      <w:tr w14:paraId="527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C65F6C8">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171DCE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63220E2">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E3D72BC">
            <w:pPr>
              <w:spacing w:line="500" w:lineRule="exact"/>
              <w:ind w:firstLine="525" w:firstLineChars="250"/>
              <w:rPr>
                <w:rFonts w:hint="eastAsia" w:ascii="微软雅黑" w:hAnsi="微软雅黑" w:eastAsia="微软雅黑" w:cs="微软雅黑"/>
                <w:color w:val="auto"/>
                <w:sz w:val="21"/>
                <w:szCs w:val="21"/>
                <w:highlight w:val="none"/>
              </w:rPr>
            </w:pPr>
          </w:p>
        </w:tc>
      </w:tr>
      <w:tr w14:paraId="0991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991F66E">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71952C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2C98040">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60E9F4BB">
            <w:pPr>
              <w:spacing w:line="500" w:lineRule="exact"/>
              <w:ind w:firstLine="525" w:firstLineChars="250"/>
              <w:rPr>
                <w:rFonts w:hint="eastAsia" w:ascii="微软雅黑" w:hAnsi="微软雅黑" w:eastAsia="微软雅黑" w:cs="微软雅黑"/>
                <w:color w:val="auto"/>
                <w:sz w:val="21"/>
                <w:szCs w:val="21"/>
                <w:highlight w:val="none"/>
              </w:rPr>
            </w:pPr>
          </w:p>
        </w:tc>
      </w:tr>
      <w:tr w14:paraId="0D1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DFC10B">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6CC0E3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25CB48C5">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424B5877">
            <w:pPr>
              <w:spacing w:line="500" w:lineRule="exact"/>
              <w:ind w:firstLine="525" w:firstLineChars="250"/>
              <w:rPr>
                <w:rFonts w:hint="eastAsia" w:ascii="微软雅黑" w:hAnsi="微软雅黑" w:eastAsia="微软雅黑" w:cs="微软雅黑"/>
                <w:color w:val="auto"/>
                <w:sz w:val="21"/>
                <w:szCs w:val="21"/>
                <w:highlight w:val="none"/>
              </w:rPr>
            </w:pPr>
          </w:p>
        </w:tc>
      </w:tr>
      <w:tr w14:paraId="6FF7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421BF">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2E6F486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347B01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2EA301DC">
            <w:pPr>
              <w:spacing w:line="500" w:lineRule="exact"/>
              <w:ind w:firstLine="525" w:firstLineChars="250"/>
              <w:rPr>
                <w:rFonts w:hint="eastAsia" w:ascii="微软雅黑" w:hAnsi="微软雅黑" w:eastAsia="微软雅黑" w:cs="微软雅黑"/>
                <w:color w:val="auto"/>
                <w:sz w:val="21"/>
                <w:szCs w:val="21"/>
                <w:highlight w:val="none"/>
              </w:rPr>
            </w:pPr>
          </w:p>
        </w:tc>
      </w:tr>
      <w:tr w14:paraId="20D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FE5E094">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CD9485F">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061F46E8">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7DF52477">
            <w:pPr>
              <w:spacing w:line="500" w:lineRule="exact"/>
              <w:ind w:firstLine="525" w:firstLineChars="250"/>
              <w:rPr>
                <w:rFonts w:hint="eastAsia" w:ascii="微软雅黑" w:hAnsi="微软雅黑" w:eastAsia="微软雅黑" w:cs="微软雅黑"/>
                <w:color w:val="auto"/>
                <w:sz w:val="21"/>
                <w:szCs w:val="21"/>
                <w:highlight w:val="none"/>
              </w:rPr>
            </w:pPr>
          </w:p>
        </w:tc>
      </w:tr>
      <w:tr w14:paraId="2DCC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CC2008D">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1BF79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5A2707A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C2DB3E7">
            <w:pPr>
              <w:spacing w:line="500" w:lineRule="exact"/>
              <w:ind w:firstLine="525" w:firstLineChars="250"/>
              <w:rPr>
                <w:rFonts w:hint="eastAsia" w:ascii="微软雅黑" w:hAnsi="微软雅黑" w:eastAsia="微软雅黑" w:cs="微软雅黑"/>
                <w:color w:val="auto"/>
                <w:sz w:val="21"/>
                <w:szCs w:val="21"/>
                <w:highlight w:val="none"/>
              </w:rPr>
            </w:pPr>
          </w:p>
        </w:tc>
      </w:tr>
      <w:tr w14:paraId="0322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0814CF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B73F4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B03FF61">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32D4C846">
            <w:pPr>
              <w:spacing w:line="500" w:lineRule="exact"/>
              <w:ind w:firstLine="525" w:firstLineChars="250"/>
              <w:rPr>
                <w:rFonts w:hint="eastAsia" w:ascii="微软雅黑" w:hAnsi="微软雅黑" w:eastAsia="微软雅黑" w:cs="微软雅黑"/>
                <w:color w:val="auto"/>
                <w:sz w:val="21"/>
                <w:szCs w:val="21"/>
                <w:highlight w:val="none"/>
              </w:rPr>
            </w:pPr>
          </w:p>
        </w:tc>
      </w:tr>
      <w:tr w14:paraId="569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13466">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C1A3BD6">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76E89F7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DFA597F">
            <w:pPr>
              <w:spacing w:line="500" w:lineRule="exact"/>
              <w:ind w:firstLine="525" w:firstLineChars="250"/>
              <w:rPr>
                <w:rFonts w:hint="eastAsia" w:ascii="微软雅黑" w:hAnsi="微软雅黑" w:eastAsia="微软雅黑" w:cs="微软雅黑"/>
                <w:color w:val="auto"/>
                <w:sz w:val="21"/>
                <w:szCs w:val="21"/>
                <w:highlight w:val="none"/>
              </w:rPr>
            </w:pPr>
          </w:p>
        </w:tc>
      </w:tr>
      <w:tr w14:paraId="6B5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8CAE5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0A903DD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A4AE25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0DCC556">
            <w:pPr>
              <w:spacing w:line="500" w:lineRule="exact"/>
              <w:ind w:firstLine="525" w:firstLineChars="250"/>
              <w:rPr>
                <w:rFonts w:hint="eastAsia" w:ascii="微软雅黑" w:hAnsi="微软雅黑" w:eastAsia="微软雅黑" w:cs="微软雅黑"/>
                <w:color w:val="auto"/>
                <w:sz w:val="21"/>
                <w:szCs w:val="21"/>
                <w:highlight w:val="none"/>
              </w:rPr>
            </w:pPr>
          </w:p>
        </w:tc>
      </w:tr>
    </w:tbl>
    <w:p w14:paraId="68BE5A07">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代理机构：                          法定代表人（或负责人）或其授权代表：</w:t>
      </w:r>
    </w:p>
    <w:p w14:paraId="62FA6DBA">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（代理机构公章）                            （签署或盖章）</w:t>
      </w:r>
    </w:p>
    <w:p w14:paraId="1DF475B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793473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17" w:name="_Toc313888362"/>
      <w:bookmarkStart w:id="118" w:name="_Toc313008358"/>
      <w:bookmarkStart w:id="119" w:name="_Toc342913421"/>
    </w:p>
    <w:p w14:paraId="53C841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674B766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6AB908FC">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项目服务需求”中所列全部内容进行比较和响应；</w:t>
      </w:r>
    </w:p>
    <w:p w14:paraId="2E0790C6">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2.该表必须按照竞争性比选要求逐条如实填写，根据响应情况在“差异说明”项填写正偏离或负偏离及原因，完全符合的填写“无差异”；</w:t>
      </w:r>
      <w:r>
        <w:rPr>
          <w:rFonts w:hint="eastAsia" w:ascii="微软雅黑" w:hAnsi="微软雅黑" w:eastAsia="微软雅黑" w:cs="微软雅黑"/>
          <w:color w:val="auto"/>
          <w:sz w:val="24"/>
          <w:szCs w:val="24"/>
          <w:highlight w:val="none"/>
          <w:lang w:val="en-US" w:eastAsia="zh-CN"/>
        </w:rPr>
        <w:t>如“响应情况”栏未填写具体内容或与“采购需求”要求的内容不完全一致，则该供应商不能通过本项目的符合性审查（即废标）。如“响应情况”栏具体内容和“采购需求”栏具体内容一致但“差异说明”栏未填写则视为无差异。</w:t>
      </w:r>
    </w:p>
    <w:p w14:paraId="7BCDC6E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p w14:paraId="5E44962A">
      <w:pPr>
        <w:pStyle w:val="12"/>
        <w:rPr>
          <w:color w:val="auto"/>
          <w:highlight w:val="none"/>
        </w:rPr>
      </w:pPr>
    </w:p>
    <w:p w14:paraId="22DDA2AC">
      <w:pPr>
        <w:rPr>
          <w:color w:val="auto"/>
          <w:highlight w:val="none"/>
        </w:rPr>
      </w:pPr>
    </w:p>
    <w:p w14:paraId="3A111E04">
      <w:pPr>
        <w:rPr>
          <w:color w:val="auto"/>
          <w:highlight w:val="none"/>
        </w:rPr>
      </w:pPr>
    </w:p>
    <w:bookmarkEnd w:id="117"/>
    <w:bookmarkEnd w:id="118"/>
    <w:bookmarkEnd w:id="119"/>
    <w:p w14:paraId="4F008272">
      <w:pPr>
        <w:pStyle w:val="3"/>
        <w:spacing w:line="360" w:lineRule="auto"/>
        <w:rPr>
          <w:rFonts w:hint="eastAsia" w:ascii="微软雅黑" w:hAnsi="微软雅黑" w:eastAsia="微软雅黑" w:cs="微软雅黑"/>
          <w:color w:val="auto"/>
          <w:highlight w:val="none"/>
        </w:rPr>
      </w:pPr>
      <w:bookmarkStart w:id="120" w:name="_Toc2555"/>
      <w:bookmarkStart w:id="121" w:name="_Toc313888363"/>
      <w:bookmarkStart w:id="122" w:name="_Toc342913422"/>
      <w:bookmarkStart w:id="123" w:name="_Toc313008359"/>
      <w:r>
        <w:rPr>
          <w:rFonts w:hint="eastAsia" w:ascii="微软雅黑" w:hAnsi="微软雅黑" w:eastAsia="微软雅黑" w:cs="微软雅黑"/>
          <w:color w:val="auto"/>
          <w:sz w:val="24"/>
          <w:szCs w:val="24"/>
          <w:highlight w:val="none"/>
        </w:rPr>
        <w:t>四、资格条件及其他</w:t>
      </w:r>
      <w:bookmarkEnd w:id="120"/>
      <w:bookmarkEnd w:id="121"/>
      <w:bookmarkEnd w:id="122"/>
      <w:bookmarkEnd w:id="123"/>
    </w:p>
    <w:p w14:paraId="779887D4">
      <w:pPr>
        <w:widowControl/>
        <w:ind w:firstLine="560" w:firstLineChars="20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（一）一般资格条件</w:t>
      </w:r>
    </w:p>
    <w:p w14:paraId="0A65F78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1、法人营业执照（副本）复印件</w:t>
      </w:r>
      <w:r>
        <w:rPr>
          <w:rFonts w:hint="eastAsia" w:ascii="微软雅黑" w:hAnsi="微软雅黑" w:eastAsia="微软雅黑" w:cs="微软雅黑"/>
          <w:color w:val="auto"/>
          <w:kern w:val="0"/>
          <w:sz w:val="24"/>
          <w:szCs w:val="24"/>
          <w:highlight w:val="none"/>
        </w:rPr>
        <w:t>。</w:t>
      </w:r>
    </w:p>
    <w:p w14:paraId="2BF186A4">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注：分支机构参与投标的，应提供授权委托。</w:t>
      </w:r>
    </w:p>
    <w:p w14:paraId="499E727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287255A">
      <w:pPr>
        <w:tabs>
          <w:tab w:val="left" w:pos="6300"/>
        </w:tabs>
        <w:snapToGrid w:val="0"/>
        <w:spacing w:line="500" w:lineRule="exact"/>
        <w:ind w:firstLine="570"/>
        <w:rPr>
          <w:rFonts w:hint="eastAsia" w:ascii="微软雅黑" w:hAnsi="微软雅黑" w:eastAsia="微软雅黑" w:cs="微软雅黑"/>
          <w:color w:val="auto"/>
          <w:highlight w:val="none"/>
        </w:rPr>
      </w:pPr>
    </w:p>
    <w:p w14:paraId="16DA8171">
      <w:pPr>
        <w:widowControl/>
        <w:rPr>
          <w:rFonts w:hint="eastAsia" w:ascii="微软雅黑" w:hAnsi="微软雅黑" w:eastAsia="微软雅黑" w:cs="微软雅黑"/>
          <w:color w:val="auto"/>
          <w:highlight w:val="none"/>
        </w:rPr>
      </w:pPr>
    </w:p>
    <w:p w14:paraId="2ECC830C">
      <w:pPr>
        <w:widowControl/>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Cs w:val="28"/>
          <w:highlight w:val="none"/>
        </w:rPr>
        <w:t>2、法定代表人身份证明书（格式）</w:t>
      </w:r>
    </w:p>
    <w:p w14:paraId="2FA8F1E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BB2A3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3E3DF8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ACBF4F6">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2F694B62">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（法定代表人（或负责人）姓名）在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（职务名称）职务，是（代理机构名称）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的法定代表人（或负责人）。</w:t>
      </w:r>
    </w:p>
    <w:p w14:paraId="198833DB">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p>
    <w:p w14:paraId="742CC16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BFCF6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5270C8C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F792D9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27F16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C285EB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567C446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030531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6D113B17">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（附：法定代表人（或负责人）身份证正反面复印件）</w:t>
      </w:r>
    </w:p>
    <w:p w14:paraId="3AD4E9C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C4214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A9771A5">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8E87AD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504C794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763D453">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4CE5ADB1">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636A1B0">
      <w:pPr>
        <w:tabs>
          <w:tab w:val="left" w:pos="6300"/>
        </w:tabs>
        <w:snapToGrid w:val="0"/>
        <w:spacing w:line="500" w:lineRule="exact"/>
        <w:ind w:firstLine="570"/>
        <w:jc w:val="center"/>
        <w:rPr>
          <w:rFonts w:hint="eastAsia" w:ascii="微软雅黑" w:hAnsi="微软雅黑" w:eastAsia="微软雅黑" w:cs="微软雅黑"/>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7F6FA27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法定代表人社保证明材料</w:t>
      </w:r>
    </w:p>
    <w:p w14:paraId="48D8262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提供法定代表人开标截止日当月前3个月中任意一个月加盖社保局公章或电子章的社保证明，同时加盖供应商公章；</w:t>
      </w:r>
    </w:p>
    <w:p w14:paraId="34CE97E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法定代表人缴纳社保在其他单位的，须提供在其他单位参保的社保证明材料，加盖供应商公章。</w:t>
      </w:r>
    </w:p>
    <w:p w14:paraId="77A966D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780759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17A57F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02300A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E4591B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7E51B0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595257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32CAD0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EF09EC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28994B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01238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42E59D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F80DE4E">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D931F5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6A208BA">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EAC7D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500703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6D99AE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177694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CC4AD8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4180D4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8FABF97">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E77FF2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2AAD0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250DD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6E21139">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4、法定代表人未缴纳社保情况说明（法定代表人有社保的无需填此表，无社保的必须填写此表）</w:t>
      </w:r>
    </w:p>
    <w:p w14:paraId="2F87F19D">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FB84D75">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法定代表人因以下第   种原因无社保缴纳记录。</w:t>
      </w:r>
    </w:p>
    <w:p w14:paraId="6F7D94A2">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 xml:space="preserve">因个人原因，未在任何单位缴纳社保 </w:t>
      </w:r>
    </w:p>
    <w:p w14:paraId="1612669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已退休</w:t>
      </w:r>
    </w:p>
    <w:p w14:paraId="5F70A043">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、法定代表人授权委托书（格式）</w:t>
      </w:r>
    </w:p>
    <w:p w14:paraId="7BB115AE">
      <w:pPr>
        <w:tabs>
          <w:tab w:val="left" w:pos="6300"/>
        </w:tabs>
        <w:snapToGrid w:val="0"/>
        <w:spacing w:line="500" w:lineRule="exact"/>
        <w:ind w:firstLine="570"/>
        <w:rPr>
          <w:rFonts w:hint="eastAsia" w:ascii="宋体" w:hAnsi="宋体"/>
          <w:color w:val="auto"/>
          <w:sz w:val="24"/>
          <w:highlight w:val="none"/>
        </w:rPr>
      </w:pPr>
      <w:r>
        <w:rPr>
          <w:rFonts w:hint="eastAsia" w:ascii="宋体" w:hAnsi="宋体"/>
          <w:color w:val="auto"/>
          <w:sz w:val="24"/>
          <w:highlight w:val="none"/>
        </w:rPr>
        <w:t xml:space="preserve">    </w:t>
      </w:r>
    </w:p>
    <w:p w14:paraId="1CB7A2E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521222E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8F4546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（采购人名称）：</w:t>
      </w:r>
    </w:p>
    <w:p w14:paraId="4E61070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_________（代理机构法定代表人（或负责人）姓名）特授权_________（被授权人姓名及身份证代码）代表我单位全权办理对上述项目的谈判、签约等具体工作，并签署全部有关的文件、协议及合同。</w:t>
      </w:r>
    </w:p>
    <w:p w14:paraId="036706C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614005C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在撤消授权的书面通知以前，本授权书一直有效。被授权人签署的所有文件（在授权书有效期内签署的）不因授权的撤消而失效。</w:t>
      </w:r>
    </w:p>
    <w:p w14:paraId="7E93CB5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5475E359">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444FEB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64AF79E">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代理机构法定代表人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w:t>
      </w:r>
    </w:p>
    <w:p w14:paraId="758E1DC1">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0CAC8718">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p>
    <w:p w14:paraId="76BDA8E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3EC7D8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6EB5C962">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（代理机构公章）</w:t>
      </w:r>
    </w:p>
    <w:p w14:paraId="16CCFC43">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2F66781C">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p>
    <w:p w14:paraId="115B357E">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73C161E6">
      <w:pPr>
        <w:tabs>
          <w:tab w:val="left" w:pos="6300"/>
        </w:tabs>
        <w:snapToGrid w:val="0"/>
        <w:spacing w:line="500" w:lineRule="exact"/>
        <w:ind w:right="48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1.若为法定代表人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办理并签署比选响应文件的，不提供此文件。</w:t>
      </w:r>
    </w:p>
    <w:p w14:paraId="1BA593B4">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24BD3463">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16CC6656">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79092388">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0D798F7D">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6C90510F">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其他人员社保证明</w:t>
      </w:r>
    </w:p>
    <w:p w14:paraId="304CD34A">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br w:type="page"/>
      </w:r>
    </w:p>
    <w:p w14:paraId="0DBC3242">
      <w:pPr>
        <w:tabs>
          <w:tab w:val="left" w:pos="6300"/>
        </w:tabs>
        <w:snapToGrid w:val="0"/>
        <w:spacing w:line="500" w:lineRule="exact"/>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、基本资格条件承诺函</w:t>
      </w:r>
    </w:p>
    <w:p w14:paraId="0583D615">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53D95F6E">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r>
        <w:rPr>
          <w:rFonts w:hint="eastAsia" w:ascii="微软雅黑" w:hAnsi="微软雅黑" w:eastAsia="微软雅黑" w:cs="微软雅黑"/>
          <w:color w:val="auto"/>
          <w:sz w:val="24"/>
          <w:szCs w:val="24"/>
          <w:highlight w:val="none"/>
          <w:u w:val="single"/>
        </w:rPr>
        <w:t xml:space="preserve">                                                </w:t>
      </w:r>
    </w:p>
    <w:p w14:paraId="719B4D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7514CB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5AC7F096">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（代理机构名称）郑重承诺：</w:t>
      </w:r>
    </w:p>
    <w:p w14:paraId="3DCFA8E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7E1456F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1416F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3.我方在采购项目评审（评标）环节结束后，随时接受采购人的检查验证，配合提供相关证明材料，证明符合《中华人民共和国政府采购法》规定的投标人基本资格条件。</w:t>
      </w:r>
    </w:p>
    <w:p w14:paraId="52F5897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DB351D3">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4D25B79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35FC8F7C">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240AEB84">
      <w:pPr>
        <w:tabs>
          <w:tab w:val="left" w:pos="6300"/>
        </w:tabs>
        <w:snapToGrid w:val="0"/>
        <w:ind w:firstLine="570"/>
        <w:rPr>
          <w:rFonts w:hint="eastAsia" w:ascii="微软雅黑" w:hAnsi="微软雅黑" w:eastAsia="微软雅黑" w:cs="微软雅黑"/>
          <w:color w:val="auto"/>
          <w:sz w:val="32"/>
          <w:szCs w:val="22"/>
          <w:highlight w:val="none"/>
        </w:rPr>
      </w:pPr>
    </w:p>
    <w:p w14:paraId="5F4214C8">
      <w:pPr>
        <w:tabs>
          <w:tab w:val="left" w:pos="6300"/>
        </w:tabs>
        <w:snapToGrid w:val="0"/>
        <w:ind w:firstLine="570"/>
        <w:rPr>
          <w:rFonts w:hint="eastAsia" w:ascii="微软雅黑" w:hAnsi="微软雅黑" w:eastAsia="微软雅黑" w:cs="微软雅黑"/>
          <w:color w:val="auto"/>
          <w:sz w:val="32"/>
          <w:szCs w:val="22"/>
          <w:highlight w:val="none"/>
        </w:rPr>
      </w:pPr>
    </w:p>
    <w:p w14:paraId="59627F27">
      <w:pPr>
        <w:tabs>
          <w:tab w:val="left" w:pos="6300"/>
        </w:tabs>
        <w:snapToGrid w:val="0"/>
        <w:ind w:firstLine="570"/>
        <w:rPr>
          <w:rFonts w:hint="eastAsia" w:ascii="微软雅黑" w:hAnsi="微软雅黑" w:eastAsia="微软雅黑" w:cs="微软雅黑"/>
          <w:color w:val="auto"/>
          <w:sz w:val="32"/>
          <w:szCs w:val="22"/>
          <w:highlight w:val="none"/>
        </w:rPr>
      </w:pPr>
    </w:p>
    <w:p w14:paraId="6AF57C1D">
      <w:pPr>
        <w:tabs>
          <w:tab w:val="left" w:pos="6300"/>
        </w:tabs>
        <w:snapToGrid w:val="0"/>
        <w:ind w:firstLine="570"/>
        <w:rPr>
          <w:rFonts w:hint="eastAsia" w:ascii="微软雅黑" w:hAnsi="微软雅黑" w:eastAsia="微软雅黑" w:cs="微软雅黑"/>
          <w:color w:val="auto"/>
          <w:sz w:val="32"/>
          <w:szCs w:val="22"/>
          <w:highlight w:val="none"/>
        </w:rPr>
      </w:pPr>
    </w:p>
    <w:p w14:paraId="57900D31">
      <w:pPr>
        <w:tabs>
          <w:tab w:val="left" w:pos="6300"/>
        </w:tabs>
        <w:snapToGrid w:val="0"/>
        <w:ind w:right="480" w:firstLine="57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2A1622D8">
      <w:pPr>
        <w:tabs>
          <w:tab w:val="left" w:pos="6300"/>
        </w:tabs>
        <w:snapToGrid w:val="0"/>
        <w:spacing w:line="500" w:lineRule="exact"/>
        <w:ind w:right="480" w:firstLine="6480" w:firstLineChars="27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年   月   日</w:t>
      </w:r>
    </w:p>
    <w:p w14:paraId="5990E0C2">
      <w:pPr>
        <w:rPr>
          <w:rFonts w:hint="eastAsia" w:ascii="微软雅黑" w:hAnsi="微软雅黑" w:eastAsia="微软雅黑" w:cs="微软雅黑"/>
          <w:color w:val="auto"/>
          <w:highlight w:val="none"/>
        </w:rPr>
      </w:pPr>
    </w:p>
    <w:p w14:paraId="1E5C9C7F">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 w:val="24"/>
          <w:szCs w:val="24"/>
          <w:highlight w:val="none"/>
        </w:rPr>
        <w:t>（二）特定资格条件</w:t>
      </w:r>
    </w:p>
    <w:p w14:paraId="5BFD9D7C">
      <w:pPr>
        <w:tabs>
          <w:tab w:val="left" w:pos="6300"/>
        </w:tabs>
        <w:snapToGrid w:val="0"/>
        <w:spacing w:line="500" w:lineRule="exact"/>
        <w:outlineLvl w:val="0"/>
        <w:rPr>
          <w:rFonts w:hint="eastAsia" w:ascii="微软雅黑" w:hAnsi="微软雅黑" w:eastAsia="微软雅黑" w:cs="微软雅黑"/>
          <w:color w:val="auto"/>
          <w:sz w:val="24"/>
          <w:szCs w:val="24"/>
          <w:highlight w:val="none"/>
        </w:rPr>
      </w:pPr>
    </w:p>
    <w:p w14:paraId="49B47E28">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3546ECF">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474B315">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997EDE7">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19C4C1F2">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B5BED63">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30D6B2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（三）评审因素需提供的资料（自附）</w:t>
      </w:r>
    </w:p>
    <w:p w14:paraId="7139E74A">
      <w:pPr>
        <w:spacing w:line="480" w:lineRule="exact"/>
        <w:rPr>
          <w:rFonts w:hint="eastAsia" w:ascii="微软雅黑" w:hAnsi="微软雅黑" w:eastAsia="微软雅黑" w:cs="微软雅黑"/>
          <w:color w:val="auto"/>
          <w:sz w:val="24"/>
          <w:szCs w:val="24"/>
          <w:highlight w:val="none"/>
        </w:rPr>
      </w:pPr>
    </w:p>
    <w:p w14:paraId="126A8241">
      <w:pPr>
        <w:spacing w:line="480" w:lineRule="exact"/>
        <w:rPr>
          <w:rFonts w:hint="eastAsia" w:ascii="微软雅黑" w:hAnsi="微软雅黑" w:eastAsia="微软雅黑" w:cs="微软雅黑"/>
          <w:color w:val="auto"/>
          <w:sz w:val="24"/>
          <w:szCs w:val="24"/>
          <w:highlight w:val="none"/>
        </w:rPr>
      </w:pPr>
    </w:p>
    <w:p w14:paraId="0E5191EA">
      <w:pPr>
        <w:spacing w:line="480" w:lineRule="exact"/>
        <w:rPr>
          <w:rFonts w:hint="eastAsia" w:ascii="微软雅黑" w:hAnsi="微软雅黑" w:eastAsia="微软雅黑" w:cs="微软雅黑"/>
          <w:color w:val="auto"/>
          <w:sz w:val="24"/>
          <w:szCs w:val="24"/>
          <w:highlight w:val="none"/>
        </w:rPr>
      </w:pPr>
    </w:p>
    <w:p w14:paraId="3E251995">
      <w:pPr>
        <w:spacing w:line="480" w:lineRule="exact"/>
        <w:rPr>
          <w:rFonts w:hint="eastAsia" w:ascii="微软雅黑" w:hAnsi="微软雅黑" w:eastAsia="微软雅黑" w:cs="微软雅黑"/>
          <w:color w:val="auto"/>
          <w:sz w:val="24"/>
          <w:szCs w:val="24"/>
          <w:highlight w:val="none"/>
        </w:rPr>
      </w:pPr>
    </w:p>
    <w:p w14:paraId="170F9594">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（四）其他应提供的资料（自附） </w:t>
      </w:r>
    </w:p>
    <w:p w14:paraId="26CE3DAE">
      <w:pPr>
        <w:spacing w:line="48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3D51094E">
      <w:pPr>
        <w:spacing w:line="480" w:lineRule="exact"/>
        <w:rPr>
          <w:rFonts w:hint="eastAsia" w:ascii="微软雅黑" w:hAnsi="微软雅黑" w:eastAsia="微软雅黑" w:cs="微软雅黑"/>
          <w:color w:val="auto"/>
          <w:sz w:val="24"/>
          <w:szCs w:val="24"/>
          <w:highlight w:val="none"/>
        </w:rPr>
      </w:pPr>
      <w:bookmarkStart w:id="124" w:name="_Toc531873561"/>
    </w:p>
    <w:p w14:paraId="084F7EF5">
      <w:pPr>
        <w:spacing w:line="480" w:lineRule="exact"/>
        <w:rPr>
          <w:rFonts w:hint="eastAsia" w:ascii="微软雅黑" w:hAnsi="微软雅黑" w:eastAsia="微软雅黑" w:cs="微软雅黑"/>
          <w:color w:val="auto"/>
          <w:sz w:val="24"/>
          <w:szCs w:val="24"/>
          <w:highlight w:val="none"/>
        </w:rPr>
      </w:pPr>
    </w:p>
    <w:p w14:paraId="59AAA5B4">
      <w:pPr>
        <w:spacing w:line="480" w:lineRule="exact"/>
        <w:rPr>
          <w:rFonts w:hint="eastAsia" w:ascii="微软雅黑" w:hAnsi="微软雅黑" w:eastAsia="微软雅黑" w:cs="微软雅黑"/>
          <w:color w:val="auto"/>
          <w:sz w:val="24"/>
          <w:szCs w:val="24"/>
          <w:highlight w:val="none"/>
        </w:rPr>
      </w:pPr>
    </w:p>
    <w:p w14:paraId="1138351C">
      <w:pPr>
        <w:spacing w:line="480" w:lineRule="exact"/>
        <w:rPr>
          <w:rFonts w:hint="eastAsia" w:ascii="微软雅黑" w:hAnsi="微软雅黑" w:eastAsia="微软雅黑" w:cs="微软雅黑"/>
          <w:color w:val="auto"/>
          <w:sz w:val="24"/>
          <w:szCs w:val="24"/>
          <w:highlight w:val="none"/>
        </w:rPr>
      </w:pPr>
    </w:p>
    <w:p w14:paraId="0079CED0">
      <w:pPr>
        <w:spacing w:line="480" w:lineRule="exact"/>
        <w:rPr>
          <w:rFonts w:hint="eastAsia" w:ascii="微软雅黑" w:hAnsi="微软雅黑" w:eastAsia="微软雅黑" w:cs="微软雅黑"/>
          <w:color w:val="auto"/>
          <w:sz w:val="24"/>
          <w:szCs w:val="24"/>
          <w:highlight w:val="none"/>
        </w:rPr>
      </w:pPr>
    </w:p>
    <w:p w14:paraId="098E25D5">
      <w:pPr>
        <w:spacing w:line="480" w:lineRule="exact"/>
        <w:rPr>
          <w:rFonts w:hint="eastAsia" w:ascii="微软雅黑" w:hAnsi="微软雅黑" w:eastAsia="微软雅黑" w:cs="微软雅黑"/>
          <w:color w:val="auto"/>
          <w:sz w:val="24"/>
          <w:szCs w:val="24"/>
          <w:highlight w:val="none"/>
        </w:rPr>
      </w:pPr>
    </w:p>
    <w:p w14:paraId="1E437D10">
      <w:pPr>
        <w:spacing w:line="480" w:lineRule="exact"/>
        <w:rPr>
          <w:rFonts w:hint="eastAsia" w:ascii="微软雅黑" w:hAnsi="微软雅黑" w:eastAsia="微软雅黑" w:cs="微软雅黑"/>
          <w:color w:val="auto"/>
          <w:sz w:val="24"/>
          <w:szCs w:val="24"/>
          <w:highlight w:val="none"/>
        </w:rPr>
      </w:pPr>
    </w:p>
    <w:p w14:paraId="4F657CE6">
      <w:pPr>
        <w:spacing w:line="480" w:lineRule="exact"/>
        <w:rPr>
          <w:rFonts w:hint="eastAsia" w:ascii="微软雅黑" w:hAnsi="微软雅黑" w:eastAsia="微软雅黑" w:cs="微软雅黑"/>
          <w:color w:val="auto"/>
          <w:sz w:val="24"/>
          <w:szCs w:val="24"/>
          <w:highlight w:val="none"/>
        </w:rPr>
      </w:pPr>
    </w:p>
    <w:p w14:paraId="7907E840">
      <w:pPr>
        <w:spacing w:line="480" w:lineRule="exact"/>
        <w:rPr>
          <w:rFonts w:hint="eastAsia" w:ascii="微软雅黑" w:hAnsi="微软雅黑" w:eastAsia="微软雅黑" w:cs="微软雅黑"/>
          <w:color w:val="auto"/>
          <w:sz w:val="24"/>
          <w:szCs w:val="24"/>
          <w:highlight w:val="none"/>
        </w:rPr>
      </w:pPr>
    </w:p>
    <w:p w14:paraId="55FDBB8D">
      <w:pPr>
        <w:spacing w:line="480" w:lineRule="exact"/>
        <w:rPr>
          <w:rFonts w:hint="eastAsia" w:ascii="微软雅黑" w:hAnsi="微软雅黑" w:eastAsia="微软雅黑" w:cs="微软雅黑"/>
          <w:color w:val="auto"/>
          <w:sz w:val="24"/>
          <w:szCs w:val="24"/>
          <w:highlight w:val="none"/>
        </w:rPr>
      </w:pPr>
    </w:p>
    <w:p w14:paraId="3C7FEE24">
      <w:pPr>
        <w:spacing w:line="480" w:lineRule="exact"/>
        <w:rPr>
          <w:rFonts w:hint="eastAsia" w:ascii="微软雅黑" w:hAnsi="微软雅黑" w:eastAsia="微软雅黑" w:cs="微软雅黑"/>
          <w:color w:val="auto"/>
          <w:sz w:val="24"/>
          <w:szCs w:val="24"/>
          <w:highlight w:val="none"/>
        </w:rPr>
      </w:pPr>
    </w:p>
    <w:p w14:paraId="552190AF">
      <w:pPr>
        <w:spacing w:line="480" w:lineRule="exact"/>
        <w:rPr>
          <w:rFonts w:hint="eastAsia" w:ascii="微软雅黑" w:hAnsi="微软雅黑" w:eastAsia="微软雅黑" w:cs="微软雅黑"/>
          <w:color w:val="auto"/>
          <w:sz w:val="24"/>
          <w:szCs w:val="24"/>
          <w:highlight w:val="none"/>
        </w:rPr>
      </w:pPr>
    </w:p>
    <w:p w14:paraId="25EE196C">
      <w:pPr>
        <w:pStyle w:val="5"/>
        <w:rPr>
          <w:color w:val="auto"/>
          <w:highlight w:val="none"/>
        </w:rPr>
      </w:pPr>
    </w:p>
    <w:p w14:paraId="60EA2D2B">
      <w:pPr>
        <w:spacing w:line="480" w:lineRule="exact"/>
        <w:rPr>
          <w:rFonts w:hint="eastAsia" w:ascii="微软雅黑" w:hAnsi="微软雅黑" w:eastAsia="微软雅黑" w:cs="微软雅黑"/>
          <w:color w:val="auto"/>
          <w:sz w:val="24"/>
          <w:szCs w:val="24"/>
          <w:highlight w:val="none"/>
        </w:rPr>
      </w:pPr>
    </w:p>
    <w:p w14:paraId="088957D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bookmarkEnd w:id="124"/>
    </w:p>
    <w:p w14:paraId="78ADA413">
      <w:pPr>
        <w:autoSpaceDE w:val="0"/>
        <w:autoSpaceDN w:val="0"/>
        <w:adjustRightInd w:val="0"/>
        <w:spacing w:line="400" w:lineRule="exact"/>
        <w:rPr>
          <w:rFonts w:hint="eastAsia" w:ascii="微软雅黑" w:hAnsi="微软雅黑" w:eastAsia="微软雅黑" w:cs="微软雅黑"/>
          <w:b/>
          <w:bCs/>
          <w:color w:val="auto"/>
          <w:szCs w:val="18"/>
          <w:highlight w:val="none"/>
          <w:lang w:val="zh-CN"/>
        </w:rPr>
      </w:pPr>
    </w:p>
    <w:tbl>
      <w:tblPr>
        <w:tblStyle w:val="1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134"/>
        <w:gridCol w:w="2052"/>
        <w:gridCol w:w="1204"/>
        <w:gridCol w:w="2307"/>
      </w:tblGrid>
      <w:tr w14:paraId="19B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41B4D546">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代理机构名称</w:t>
            </w:r>
          </w:p>
        </w:tc>
        <w:tc>
          <w:tcPr>
            <w:tcW w:w="6697" w:type="dxa"/>
            <w:gridSpan w:val="4"/>
            <w:vAlign w:val="center"/>
          </w:tcPr>
          <w:p w14:paraId="07F14BE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60F2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664D6C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注册地址</w:t>
            </w:r>
          </w:p>
        </w:tc>
        <w:tc>
          <w:tcPr>
            <w:tcW w:w="3186" w:type="dxa"/>
            <w:gridSpan w:val="2"/>
            <w:vAlign w:val="center"/>
          </w:tcPr>
          <w:p w14:paraId="61E53C0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62D26A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邮政编码</w:t>
            </w:r>
          </w:p>
        </w:tc>
        <w:tc>
          <w:tcPr>
            <w:tcW w:w="2307" w:type="dxa"/>
            <w:vAlign w:val="center"/>
          </w:tcPr>
          <w:p w14:paraId="6794F12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77E7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restart"/>
            <w:vAlign w:val="center"/>
          </w:tcPr>
          <w:p w14:paraId="4CC4806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联系方式</w:t>
            </w:r>
          </w:p>
        </w:tc>
        <w:tc>
          <w:tcPr>
            <w:tcW w:w="1134" w:type="dxa"/>
            <w:vAlign w:val="center"/>
          </w:tcPr>
          <w:p w14:paraId="3A91579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联系人</w:t>
            </w:r>
          </w:p>
        </w:tc>
        <w:tc>
          <w:tcPr>
            <w:tcW w:w="2052" w:type="dxa"/>
            <w:vAlign w:val="center"/>
          </w:tcPr>
          <w:p w14:paraId="2A61CB9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44D5908C">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2E8D2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5E13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continue"/>
            <w:vAlign w:val="center"/>
          </w:tcPr>
          <w:p w14:paraId="7238A3AE">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134" w:type="dxa"/>
            <w:vAlign w:val="center"/>
          </w:tcPr>
          <w:p w14:paraId="2DD657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传真</w:t>
            </w:r>
          </w:p>
        </w:tc>
        <w:tc>
          <w:tcPr>
            <w:tcW w:w="2052" w:type="dxa"/>
            <w:vAlign w:val="center"/>
          </w:tcPr>
          <w:p w14:paraId="3D6AB233">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9FB8CD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网址</w:t>
            </w:r>
          </w:p>
        </w:tc>
        <w:tc>
          <w:tcPr>
            <w:tcW w:w="2307" w:type="dxa"/>
            <w:vAlign w:val="center"/>
          </w:tcPr>
          <w:p w14:paraId="641BFE6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2F1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ED26E8E">
            <w:pPr>
              <w:autoSpaceDE w:val="0"/>
              <w:autoSpaceDN w:val="0"/>
              <w:adjustRightInd w:val="0"/>
              <w:spacing w:line="400" w:lineRule="exact"/>
              <w:jc w:val="center"/>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lang w:val="zh-CN"/>
              </w:rPr>
              <w:t>法定代表人</w:t>
            </w:r>
            <w:r>
              <w:rPr>
                <w:rFonts w:hint="eastAsia" w:ascii="微软雅黑" w:hAnsi="微软雅黑" w:eastAsia="微软雅黑" w:cs="微软雅黑"/>
                <w:bCs/>
                <w:color w:val="auto"/>
                <w:sz w:val="24"/>
                <w:highlight w:val="none"/>
              </w:rPr>
              <w:t>或负责人</w:t>
            </w:r>
          </w:p>
        </w:tc>
        <w:tc>
          <w:tcPr>
            <w:tcW w:w="1134" w:type="dxa"/>
            <w:vAlign w:val="center"/>
          </w:tcPr>
          <w:p w14:paraId="555DDEE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姓名</w:t>
            </w:r>
          </w:p>
        </w:tc>
        <w:tc>
          <w:tcPr>
            <w:tcW w:w="2052" w:type="dxa"/>
            <w:vAlign w:val="center"/>
          </w:tcPr>
          <w:p w14:paraId="312A0EA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B2317FB">
            <w:pPr>
              <w:autoSpaceDE w:val="0"/>
              <w:autoSpaceDN w:val="0"/>
              <w:adjustRightInd w:val="0"/>
              <w:spacing w:line="400" w:lineRule="exact"/>
              <w:ind w:firstLine="240" w:firstLineChars="100"/>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C900855">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75DD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DEFE92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成立时间</w:t>
            </w:r>
          </w:p>
        </w:tc>
        <w:tc>
          <w:tcPr>
            <w:tcW w:w="6697" w:type="dxa"/>
            <w:gridSpan w:val="4"/>
            <w:vAlign w:val="center"/>
          </w:tcPr>
          <w:p w14:paraId="7940CE7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44C9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05C7038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资质等级（若有）</w:t>
            </w:r>
          </w:p>
        </w:tc>
        <w:tc>
          <w:tcPr>
            <w:tcW w:w="6697" w:type="dxa"/>
            <w:gridSpan w:val="4"/>
            <w:vAlign w:val="center"/>
          </w:tcPr>
          <w:p w14:paraId="3FB9FB5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36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68B1E3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营业执照号</w:t>
            </w:r>
          </w:p>
        </w:tc>
        <w:tc>
          <w:tcPr>
            <w:tcW w:w="6697" w:type="dxa"/>
            <w:gridSpan w:val="4"/>
            <w:vAlign w:val="center"/>
          </w:tcPr>
          <w:p w14:paraId="215A3866">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4814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3C4CF3B1">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注册资金</w:t>
            </w:r>
          </w:p>
        </w:tc>
        <w:tc>
          <w:tcPr>
            <w:tcW w:w="6697" w:type="dxa"/>
            <w:gridSpan w:val="4"/>
            <w:vAlign w:val="center"/>
          </w:tcPr>
          <w:p w14:paraId="6ED7B1D8">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0D18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1EDF57C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开户银行</w:t>
            </w:r>
          </w:p>
        </w:tc>
        <w:tc>
          <w:tcPr>
            <w:tcW w:w="6697" w:type="dxa"/>
            <w:gridSpan w:val="4"/>
            <w:vAlign w:val="center"/>
          </w:tcPr>
          <w:p w14:paraId="3BEA966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BB4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268AA2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账   号</w:t>
            </w:r>
          </w:p>
        </w:tc>
        <w:tc>
          <w:tcPr>
            <w:tcW w:w="6697" w:type="dxa"/>
            <w:gridSpan w:val="4"/>
            <w:vAlign w:val="center"/>
          </w:tcPr>
          <w:p w14:paraId="6DF1DF84">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65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2263" w:type="dxa"/>
            <w:vAlign w:val="center"/>
          </w:tcPr>
          <w:p w14:paraId="53C16295">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经营范围</w:t>
            </w:r>
          </w:p>
        </w:tc>
        <w:tc>
          <w:tcPr>
            <w:tcW w:w="6697" w:type="dxa"/>
            <w:gridSpan w:val="4"/>
            <w:vAlign w:val="center"/>
          </w:tcPr>
          <w:p w14:paraId="7D2EE17E">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96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263" w:type="dxa"/>
            <w:vAlign w:val="center"/>
          </w:tcPr>
          <w:p w14:paraId="0C0FE1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备    注</w:t>
            </w:r>
          </w:p>
        </w:tc>
        <w:tc>
          <w:tcPr>
            <w:tcW w:w="6697" w:type="dxa"/>
            <w:gridSpan w:val="4"/>
            <w:vAlign w:val="center"/>
          </w:tcPr>
          <w:p w14:paraId="56C8A5F1">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bl>
    <w:p w14:paraId="3E3F0C4F">
      <w:pPr>
        <w:pStyle w:val="21"/>
        <w:tabs>
          <w:tab w:val="left" w:pos="3023"/>
        </w:tabs>
        <w:jc w:val="both"/>
        <w:rPr>
          <w:rFonts w:hint="eastAsia" w:ascii="宋体" w:hAnsi="宋体" w:eastAsia="宋体" w:cs="宋体"/>
          <w:color w:val="auto"/>
          <w:sz w:val="36"/>
          <w:szCs w:val="36"/>
          <w:highlight w:val="none"/>
        </w:rPr>
      </w:pPr>
      <w:bookmarkStart w:id="125" w:name="_Toc28902"/>
      <w:bookmarkStart w:id="126" w:name="_Toc481430160"/>
      <w:bookmarkStart w:id="127" w:name="_Toc25408"/>
      <w:bookmarkStart w:id="128" w:name="_Toc8480"/>
    </w:p>
    <w:p w14:paraId="261E7B8C">
      <w:pPr>
        <w:pStyle w:val="21"/>
        <w:tabs>
          <w:tab w:val="left" w:pos="3023"/>
        </w:tabs>
        <w:jc w:val="both"/>
        <w:rPr>
          <w:rFonts w:hint="eastAsia" w:ascii="宋体" w:hAnsi="宋体" w:eastAsia="宋体" w:cs="宋体"/>
          <w:color w:val="auto"/>
          <w:sz w:val="36"/>
          <w:szCs w:val="36"/>
          <w:highlight w:val="none"/>
        </w:rPr>
      </w:pPr>
    </w:p>
    <w:p w14:paraId="3B5613CA">
      <w:pPr>
        <w:pStyle w:val="21"/>
        <w:tabs>
          <w:tab w:val="left" w:pos="3023"/>
        </w:tabs>
        <w:jc w:val="both"/>
        <w:rPr>
          <w:rFonts w:hint="eastAsia" w:ascii="宋体" w:hAnsi="宋体" w:eastAsia="宋体" w:cs="宋体"/>
          <w:color w:val="auto"/>
          <w:sz w:val="36"/>
          <w:szCs w:val="36"/>
          <w:highlight w:val="none"/>
        </w:rPr>
      </w:pPr>
    </w:p>
    <w:p w14:paraId="40420872">
      <w:pPr>
        <w:pStyle w:val="21"/>
        <w:tabs>
          <w:tab w:val="left" w:pos="3023"/>
        </w:tabs>
        <w:jc w:val="both"/>
        <w:rPr>
          <w:rFonts w:hint="eastAsia" w:ascii="宋体" w:hAnsi="宋体" w:eastAsia="宋体" w:cs="宋体"/>
          <w:color w:val="auto"/>
          <w:sz w:val="36"/>
          <w:szCs w:val="36"/>
          <w:highlight w:val="none"/>
        </w:rPr>
      </w:pPr>
    </w:p>
    <w:p w14:paraId="035A2765">
      <w:pPr>
        <w:pStyle w:val="21"/>
        <w:tabs>
          <w:tab w:val="left" w:pos="3023"/>
        </w:tabs>
        <w:jc w:val="both"/>
        <w:rPr>
          <w:rFonts w:hint="eastAsia" w:ascii="宋体" w:hAnsi="宋体" w:eastAsia="宋体" w:cs="宋体"/>
          <w:color w:val="auto"/>
          <w:sz w:val="36"/>
          <w:szCs w:val="36"/>
          <w:highlight w:val="none"/>
        </w:rPr>
      </w:pPr>
    </w:p>
    <w:p w14:paraId="3931C6A8">
      <w:pPr>
        <w:pStyle w:val="21"/>
        <w:tabs>
          <w:tab w:val="left" w:pos="3023"/>
        </w:tabs>
        <w:jc w:val="both"/>
        <w:rPr>
          <w:rFonts w:hint="eastAsia" w:ascii="宋体" w:hAnsi="宋体" w:eastAsia="宋体" w:cs="宋体"/>
          <w:color w:val="auto"/>
          <w:sz w:val="36"/>
          <w:szCs w:val="36"/>
          <w:highlight w:val="none"/>
        </w:rPr>
      </w:pPr>
    </w:p>
    <w:bookmarkEnd w:id="125"/>
    <w:bookmarkEnd w:id="126"/>
    <w:bookmarkEnd w:id="127"/>
    <w:bookmarkEnd w:id="128"/>
    <w:p w14:paraId="380D6266">
      <w:pPr>
        <w:spacing w:line="480" w:lineRule="exact"/>
        <w:rPr>
          <w:rFonts w:hint="eastAsia" w:ascii="微软雅黑" w:hAnsi="微软雅黑" w:eastAsia="微软雅黑" w:cs="微软雅黑"/>
          <w:color w:val="auto"/>
          <w:sz w:val="21"/>
          <w:szCs w:val="21"/>
          <w:highlight w:val="none"/>
        </w:rPr>
      </w:pPr>
    </w:p>
    <w:p w14:paraId="67E919FB">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6126D836">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5C584764">
      <w:pPr>
        <w:spacing w:line="48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（结束）</w:t>
      </w:r>
    </w:p>
    <w:p w14:paraId="600097CB">
      <w:pPr>
        <w:rPr>
          <w:rFonts w:hint="eastAsia"/>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B666">
    <w:pPr>
      <w:pStyle w:val="9"/>
      <w:framePr w:wrap="around" w:vAnchor="text" w:hAnchor="margin" w:xAlign="center" w:y="1"/>
      <w:jc w:val="center"/>
      <w:rPr>
        <w:rStyle w:val="18"/>
        <w:rFonts w:ascii="宋体"/>
        <w:szCs w:val="18"/>
      </w:rPr>
    </w:pPr>
    <w:r>
      <w:rPr>
        <w:rFonts w:ascii="宋体"/>
        <w:szCs w:val="18"/>
      </w:rPr>
      <w:fldChar w:fldCharType="begin"/>
    </w:r>
    <w:r>
      <w:rPr>
        <w:rStyle w:val="18"/>
        <w:rFonts w:ascii="宋体"/>
        <w:szCs w:val="18"/>
      </w:rPr>
      <w:instrText xml:space="preserve">PAGE  </w:instrText>
    </w:r>
    <w:r>
      <w:rPr>
        <w:rFonts w:ascii="宋体"/>
        <w:szCs w:val="18"/>
      </w:rPr>
      <w:fldChar w:fldCharType="separate"/>
    </w:r>
    <w:r>
      <w:rPr>
        <w:rStyle w:val="18"/>
        <w:rFonts w:ascii="宋体"/>
        <w:szCs w:val="18"/>
      </w:rPr>
      <w:t>12</w:t>
    </w:r>
    <w:r>
      <w:rPr>
        <w:rFonts w:ascii="宋体"/>
        <w:szCs w:val="18"/>
      </w:rPr>
      <w:fldChar w:fldCharType="end"/>
    </w:r>
  </w:p>
  <w:p w14:paraId="1B8922C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709F">
    <w:pPr>
      <w:pStyle w:val="9"/>
      <w:framePr w:wrap="around" w:vAnchor="text" w:hAnchor="margin" w:xAlign="center" w:y="1"/>
      <w:rPr>
        <w:rStyle w:val="18"/>
      </w:rPr>
    </w:pPr>
    <w:r>
      <w:fldChar w:fldCharType="begin"/>
    </w:r>
    <w:r>
      <w:rPr>
        <w:rStyle w:val="18"/>
      </w:rPr>
      <w:instrText xml:space="preserve">PAGE  </w:instrText>
    </w:r>
    <w:r>
      <w:fldChar w:fldCharType="end"/>
    </w:r>
  </w:p>
  <w:p w14:paraId="7153727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6608">
    <w:pPr>
      <w:pStyle w:val="9"/>
      <w:framePr w:wrap="around" w:vAnchor="text" w:hAnchor="margin" w:xAlign="center" w:y="1"/>
      <w:rPr>
        <w:rStyle w:val="18"/>
      </w:rPr>
    </w:pPr>
  </w:p>
  <w:p w14:paraId="3E7B6DC3">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86A8">
    <w:pPr>
      <w:pStyle w:val="9"/>
      <w:jc w:val="center"/>
      <w:rPr>
        <w:rFonts w:hint="eastAsia" w:ascii="宋体" w:hAnsi="宋体"/>
        <w:szCs w:val="18"/>
      </w:rPr>
    </w:pPr>
    <w:r>
      <w:rPr>
        <w:rFonts w:ascii="宋体" w:hAnsi="宋体"/>
        <w:szCs w:val="18"/>
      </w:rPr>
      <w:fldChar w:fldCharType="begin"/>
    </w:r>
    <w:r>
      <w:rPr>
        <w:rStyle w:val="18"/>
        <w:rFonts w:ascii="宋体" w:hAnsi="宋体"/>
        <w:szCs w:val="18"/>
      </w:rPr>
      <w:instrText xml:space="preserve"> PAGE </w:instrText>
    </w:r>
    <w:r>
      <w:rPr>
        <w:rFonts w:ascii="宋体" w:hAnsi="宋体"/>
        <w:szCs w:val="18"/>
      </w:rPr>
      <w:fldChar w:fldCharType="separate"/>
    </w:r>
    <w:r>
      <w:rPr>
        <w:rStyle w:val="18"/>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7A7F">
    <w:pPr>
      <w:pStyle w:val="9"/>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25719">
                          <w:pPr>
                            <w:pStyle w:val="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325719">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2173">
    <w:pPr>
      <w:pStyle w:val="10"/>
      <w:pBdr>
        <w:bottom w:val="none" w:color="auto" w:sz="0" w:space="1"/>
      </w:pBdr>
      <w:jc w:val="both"/>
      <w:rPr>
        <w:rFonts w:hint="eastAsia" w:ascii="微软雅黑" w:hAnsi="微软雅黑" w:eastAsia="微软雅黑" w:cs="微软雅黑"/>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B1B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256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57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C284">
    <w:pPr>
      <w:pStyle w:val="1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E395">
    <w:pPr>
      <w:pStyle w:val="10"/>
      <w:pBdr>
        <w:bottom w:val="none" w:color="auto" w:sz="0" w:space="1"/>
      </w:pBdr>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DD1F">
    <w:pPr>
      <w:pStyle w:val="10"/>
      <w:jc w:val="both"/>
      <w:rPr>
        <w:rFonts w:hint="eastAsia" w:ascii="宋体" w:hAnsi="宋体" w:cs="宋体"/>
        <w:sz w:val="21"/>
        <w:szCs w:val="21"/>
      </w:rPr>
    </w:pP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询价文件</w:t>
    </w:r>
    <w:r>
      <w:rPr>
        <w:rFonts w:ascii="宋体" w:hAnsi="宋体" w:cs="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A47EA"/>
    <w:multiLevelType w:val="singleLevel"/>
    <w:tmpl w:val="2C1A47EA"/>
    <w:lvl w:ilvl="0" w:tentative="0">
      <w:start w:val="5"/>
      <w:numFmt w:val="chineseCounting"/>
      <w:suff w:val="space"/>
      <w:lvlText w:val="第%1篇"/>
      <w:lvlJc w:val="left"/>
      <w:rPr>
        <w:rFonts w:hint="eastAsia"/>
      </w:rPr>
    </w:lvl>
  </w:abstractNum>
  <w:abstractNum w:abstractNumId="1">
    <w:nsid w:val="4174BBBA"/>
    <w:multiLevelType w:val="singleLevel"/>
    <w:tmpl w:val="4174BBBA"/>
    <w:lvl w:ilvl="0" w:tentative="0">
      <w:start w:val="2"/>
      <w:numFmt w:val="chineseCounting"/>
      <w:suff w:val="nothing"/>
      <w:lvlText w:val="（%1）"/>
      <w:lvlJc w:val="left"/>
      <w:rPr>
        <w:rFonts w:hint="eastAsia"/>
      </w:rPr>
    </w:lvl>
  </w:abstractNum>
  <w:abstractNum w:abstractNumId="2">
    <w:nsid w:val="6C80D529"/>
    <w:multiLevelType w:val="singleLevel"/>
    <w:tmpl w:val="6C80D529"/>
    <w:lvl w:ilvl="0" w:tentative="0">
      <w:start w:val="2"/>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5CB1165"/>
    <w:rsid w:val="000C21DC"/>
    <w:rsid w:val="00133FB5"/>
    <w:rsid w:val="001A1EE9"/>
    <w:rsid w:val="002973D8"/>
    <w:rsid w:val="00322C87"/>
    <w:rsid w:val="0035349D"/>
    <w:rsid w:val="003B4178"/>
    <w:rsid w:val="005551C1"/>
    <w:rsid w:val="00723243"/>
    <w:rsid w:val="007F3271"/>
    <w:rsid w:val="0080246C"/>
    <w:rsid w:val="008E70E5"/>
    <w:rsid w:val="00934B90"/>
    <w:rsid w:val="009652B4"/>
    <w:rsid w:val="00A122B6"/>
    <w:rsid w:val="00B12EF6"/>
    <w:rsid w:val="00BC56B2"/>
    <w:rsid w:val="00DA0580"/>
    <w:rsid w:val="00DC2653"/>
    <w:rsid w:val="00E55324"/>
    <w:rsid w:val="00EB1DCC"/>
    <w:rsid w:val="00ED2C81"/>
    <w:rsid w:val="00F7637B"/>
    <w:rsid w:val="0F8E03D1"/>
    <w:rsid w:val="104258B0"/>
    <w:rsid w:val="15CB1165"/>
    <w:rsid w:val="238057E2"/>
    <w:rsid w:val="2C2120D1"/>
    <w:rsid w:val="2DCB4AA6"/>
    <w:rsid w:val="308479D3"/>
    <w:rsid w:val="36596417"/>
    <w:rsid w:val="3F614CB4"/>
    <w:rsid w:val="465423CF"/>
    <w:rsid w:val="46CE6858"/>
    <w:rsid w:val="4AED5BDD"/>
    <w:rsid w:val="4AFA20FA"/>
    <w:rsid w:val="4C201CAE"/>
    <w:rsid w:val="4D785A3B"/>
    <w:rsid w:val="4E2C474F"/>
    <w:rsid w:val="4E6A62DD"/>
    <w:rsid w:val="4F0C73B2"/>
    <w:rsid w:val="5B275494"/>
    <w:rsid w:val="5B2D0F93"/>
    <w:rsid w:val="5BD62A48"/>
    <w:rsid w:val="60780040"/>
    <w:rsid w:val="65661CC5"/>
    <w:rsid w:val="65842EE1"/>
    <w:rsid w:val="672543B3"/>
    <w:rsid w:val="686822B2"/>
    <w:rsid w:val="6D1659B8"/>
    <w:rsid w:val="74F17E67"/>
    <w:rsid w:val="753F442A"/>
    <w:rsid w:val="798E06B1"/>
    <w:rsid w:val="7ACD1D32"/>
    <w:rsid w:val="7BD13B30"/>
    <w:rsid w:val="7C050B08"/>
    <w:rsid w:val="7ED3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sz w:val="32"/>
    </w:rPr>
  </w:style>
  <w:style w:type="paragraph" w:customStyle="1" w:styleId="6">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index 7"/>
    <w:basedOn w:val="1"/>
    <w:next w:val="1"/>
    <w:qFormat/>
    <w:uiPriority w:val="0"/>
    <w:pPr>
      <w:ind w:left="2520"/>
    </w:pPr>
  </w:style>
  <w:style w:type="paragraph" w:styleId="13">
    <w:name w:val="toc 2"/>
    <w:basedOn w:val="1"/>
    <w:next w:val="1"/>
    <w:qFormat/>
    <w:uiPriority w:val="39"/>
    <w:pPr>
      <w:ind w:left="420" w:leftChars="200"/>
    </w:pPr>
  </w:style>
  <w:style w:type="paragraph" w:styleId="1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table" w:styleId="16">
    <w:name w:val="Table Grid"/>
    <w:basedOn w:val="15"/>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1"/>
    <w:basedOn w:val="1"/>
    <w:next w:val="8"/>
    <w:qFormat/>
    <w:uiPriority w:val="0"/>
    <w:rPr>
      <w:rFonts w:ascii="宋体" w:hAnsi="Courier New"/>
      <w:sz w:val="21"/>
    </w:rPr>
  </w:style>
  <w:style w:type="paragraph" w:customStyle="1" w:styleId="2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7118</Words>
  <Characters>7447</Characters>
  <Lines>803</Lines>
  <Paragraphs>643</Paragraphs>
  <TotalTime>19</TotalTime>
  <ScaleCrop>false</ScaleCrop>
  <LinksUpToDate>false</LinksUpToDate>
  <CharactersWithSpaces>7560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2025-05-21T00:28:00Z</dcterms:created>
  <dc:creator>WPS_1717571575</dc:creator>
  <cp:lastModifiedBy>儿歌没有告诉你 </cp:lastModifiedBy>
  <cp:lastPrinted>2025-06-05T08:52:00Z</cp:lastPrinted>
  <dcterms:modified xsi:type="dcterms:W3CDTF">2025-11-18T08:51:27Z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26B3A59F7A344960948DBC037B228DFB_13</vt:lpwstr>
  </property>
  <property fmtid="{D5CDD505-2E9C-101B-9397-08002B2CF9AE}" pid="4" name="KSOTemplateDocerSaveRecord">
    <vt:lpwstr>eyJoZGlkIjoiMmFkMzExN2RmYTUwNGVmMmYxZDVlODFhY2IxNTJlZWQiLCJ1c2VySWQiOiIxOTU0ODc2NjEifQ==</vt:lpwstr>
  </property>
</Properties>
</file>