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仿宋" w:hAnsi="仿宋" w:eastAsia="仿宋" w:cs="仿宋"/>
          <w:sz w:val="52"/>
          <w:highlight w:val="none"/>
        </w:rPr>
      </w:pPr>
    </w:p>
    <w:p>
      <w:pPr>
        <w:spacing w:line="1600" w:lineRule="exact"/>
        <w:jc w:val="center"/>
        <w:outlineLvl w:val="0"/>
        <w:rPr>
          <w:rFonts w:hint="eastAsia" w:ascii="仿宋" w:hAnsi="仿宋" w:eastAsia="仿宋" w:cs="仿宋"/>
          <w:b/>
          <w:sz w:val="100"/>
          <w:highlight w:val="none"/>
        </w:rPr>
      </w:pPr>
    </w:p>
    <w:p>
      <w:pPr>
        <w:spacing w:line="1600" w:lineRule="exact"/>
        <w:jc w:val="center"/>
        <w:outlineLvl w:val="0"/>
        <w:rPr>
          <w:rFonts w:hint="eastAsia" w:ascii="仿宋" w:hAnsi="仿宋" w:eastAsia="仿宋" w:cs="仿宋"/>
          <w:b/>
          <w:sz w:val="96"/>
          <w:szCs w:val="96"/>
          <w:highlight w:val="none"/>
        </w:rPr>
      </w:pPr>
      <w:r>
        <w:rPr>
          <w:rFonts w:hint="eastAsia" w:ascii="仿宋" w:hAnsi="仿宋" w:eastAsia="仿宋" w:cs="仿宋"/>
          <w:b/>
          <w:sz w:val="96"/>
          <w:szCs w:val="96"/>
          <w:highlight w:val="none"/>
        </w:rPr>
        <w:t>竞争性比选文件</w:t>
      </w:r>
    </w:p>
    <w:p>
      <w:pPr>
        <w:pStyle w:val="7"/>
        <w:spacing w:line="500" w:lineRule="exact"/>
        <w:ind w:left="0"/>
        <w:jc w:val="center"/>
        <w:rPr>
          <w:rFonts w:hint="eastAsia" w:ascii="仿宋" w:hAnsi="仿宋" w:eastAsia="仿宋" w:cs="仿宋"/>
          <w:b/>
          <w:sz w:val="32"/>
          <w:highlight w:val="none"/>
        </w:rPr>
      </w:pPr>
    </w:p>
    <w:p>
      <w:pPr>
        <w:pStyle w:val="7"/>
        <w:spacing w:line="500" w:lineRule="exact"/>
        <w:ind w:left="0"/>
        <w:jc w:val="center"/>
        <w:rPr>
          <w:rFonts w:hint="eastAsia" w:ascii="仿宋" w:hAnsi="仿宋" w:eastAsia="仿宋" w:cs="仿宋"/>
          <w:b/>
          <w:sz w:val="32"/>
          <w:highlight w:val="none"/>
        </w:rPr>
      </w:pPr>
    </w:p>
    <w:p>
      <w:pPr>
        <w:pStyle w:val="7"/>
        <w:spacing w:line="500" w:lineRule="exact"/>
        <w:ind w:left="0"/>
        <w:jc w:val="center"/>
        <w:rPr>
          <w:rFonts w:hint="eastAsia" w:ascii="仿宋" w:hAnsi="仿宋" w:eastAsia="仿宋" w:cs="仿宋"/>
          <w:b/>
          <w:sz w:val="32"/>
          <w:highlight w:val="none"/>
        </w:rPr>
      </w:pPr>
    </w:p>
    <w:p>
      <w:pPr>
        <w:pStyle w:val="7"/>
        <w:spacing w:line="500" w:lineRule="exact"/>
        <w:ind w:left="0"/>
        <w:jc w:val="center"/>
        <w:rPr>
          <w:rFonts w:hint="eastAsia" w:ascii="仿宋" w:hAnsi="仿宋" w:eastAsia="仿宋" w:cs="仿宋"/>
          <w:b/>
          <w:sz w:val="32"/>
          <w:highlight w:val="none"/>
        </w:rPr>
      </w:pPr>
    </w:p>
    <w:p>
      <w:pPr>
        <w:spacing w:line="500" w:lineRule="exact"/>
        <w:ind w:left="2240" w:leftChars="800"/>
        <w:jc w:val="left"/>
        <w:outlineLvl w:val="0"/>
        <w:rPr>
          <w:rFonts w:hint="default" w:ascii="仿宋" w:hAnsi="仿宋" w:eastAsia="仿宋" w:cs="仿宋"/>
          <w:b/>
          <w:sz w:val="32"/>
          <w:highlight w:val="none"/>
          <w:lang w:val="en-US"/>
        </w:rPr>
      </w:pPr>
      <w:bookmarkStart w:id="0" w:name="OLE_LINK1"/>
      <w:r>
        <w:rPr>
          <w:rFonts w:hint="eastAsia" w:ascii="仿宋" w:hAnsi="仿宋" w:eastAsia="仿宋" w:cs="仿宋"/>
          <w:b/>
          <w:sz w:val="32"/>
          <w:highlight w:val="none"/>
        </w:rPr>
        <w:t>项目编号：</w:t>
      </w:r>
      <w:r>
        <w:rPr>
          <w:rFonts w:hint="eastAsia" w:ascii="仿宋" w:hAnsi="仿宋" w:eastAsia="仿宋" w:cs="仿宋"/>
          <w:b/>
          <w:sz w:val="32"/>
          <w:highlight w:val="none"/>
          <w:lang w:val="en-US" w:eastAsia="zh-CN"/>
        </w:rPr>
        <w:t xml:space="preserve">1064-262HD1415035 </w:t>
      </w:r>
    </w:p>
    <w:p>
      <w:pPr>
        <w:pStyle w:val="7"/>
        <w:spacing w:line="500" w:lineRule="exact"/>
        <w:jc w:val="center"/>
        <w:outlineLvl w:val="0"/>
        <w:rPr>
          <w:rFonts w:hint="eastAsia" w:ascii="仿宋" w:hAnsi="仿宋" w:eastAsia="仿宋" w:cs="仿宋"/>
          <w:b/>
          <w:sz w:val="32"/>
          <w:highlight w:val="none"/>
          <w:lang w:eastAsia="zh-CN"/>
        </w:rPr>
      </w:pPr>
      <w:r>
        <w:rPr>
          <w:rFonts w:hint="eastAsia" w:ascii="仿宋" w:hAnsi="仿宋" w:eastAsia="仿宋" w:cs="仿宋"/>
          <w:b/>
          <w:sz w:val="32"/>
          <w:highlight w:val="none"/>
        </w:rPr>
        <w:t>项目名称：</w:t>
      </w:r>
      <w:bookmarkEnd w:id="0"/>
      <w:r>
        <w:rPr>
          <w:rFonts w:hint="eastAsia" w:ascii="仿宋" w:hAnsi="仿宋" w:eastAsia="仿宋" w:cs="仿宋"/>
          <w:b/>
          <w:sz w:val="32"/>
          <w:highlight w:val="none"/>
          <w:lang w:eastAsia="zh-CN"/>
        </w:rPr>
        <w:t>重庆两江新区人民医院污水在线监测服务项目</w:t>
      </w:r>
    </w:p>
    <w:p>
      <w:pPr>
        <w:pStyle w:val="7"/>
        <w:spacing w:line="500" w:lineRule="exact"/>
        <w:ind w:left="0"/>
        <w:jc w:val="center"/>
        <w:outlineLvl w:val="0"/>
        <w:rPr>
          <w:rFonts w:hint="eastAsia" w:ascii="仿宋" w:hAnsi="仿宋" w:eastAsia="仿宋" w:cs="仿宋"/>
          <w:b/>
          <w:sz w:val="32"/>
          <w:highlight w:val="none"/>
        </w:rPr>
      </w:pPr>
    </w:p>
    <w:p>
      <w:pPr>
        <w:pStyle w:val="7"/>
        <w:spacing w:line="500" w:lineRule="exact"/>
        <w:ind w:left="0"/>
        <w:jc w:val="center"/>
        <w:rPr>
          <w:rFonts w:hint="eastAsia" w:ascii="仿宋" w:hAnsi="仿宋" w:eastAsia="仿宋" w:cs="仿宋"/>
          <w:b/>
          <w:sz w:val="32"/>
          <w:highlight w:val="none"/>
        </w:rPr>
      </w:pPr>
    </w:p>
    <w:p>
      <w:pPr>
        <w:pStyle w:val="7"/>
        <w:spacing w:line="500" w:lineRule="exact"/>
        <w:ind w:left="0"/>
        <w:jc w:val="center"/>
        <w:rPr>
          <w:rFonts w:hint="eastAsia" w:ascii="仿宋" w:hAnsi="仿宋" w:eastAsia="仿宋" w:cs="仿宋"/>
          <w:b/>
          <w:sz w:val="32"/>
          <w:highlight w:val="none"/>
        </w:rPr>
      </w:pPr>
    </w:p>
    <w:p>
      <w:pPr>
        <w:spacing w:line="500" w:lineRule="exact"/>
        <w:jc w:val="center"/>
        <w:rPr>
          <w:rFonts w:hint="eastAsia" w:ascii="仿宋" w:hAnsi="仿宋" w:eastAsia="仿宋" w:cs="仿宋"/>
          <w:b/>
          <w:sz w:val="32"/>
          <w:highlight w:val="none"/>
        </w:rPr>
      </w:pPr>
    </w:p>
    <w:p>
      <w:pPr>
        <w:spacing w:line="500" w:lineRule="exact"/>
        <w:jc w:val="center"/>
        <w:rPr>
          <w:rFonts w:hint="eastAsia" w:ascii="仿宋" w:hAnsi="仿宋" w:eastAsia="仿宋" w:cs="仿宋"/>
          <w:b/>
          <w:sz w:val="32"/>
          <w:highlight w:val="none"/>
        </w:rPr>
      </w:pPr>
    </w:p>
    <w:p>
      <w:pPr>
        <w:spacing w:line="500" w:lineRule="exact"/>
        <w:jc w:val="center"/>
        <w:rPr>
          <w:rFonts w:hint="eastAsia" w:ascii="仿宋" w:hAnsi="仿宋" w:eastAsia="仿宋" w:cs="仿宋"/>
          <w:b/>
          <w:sz w:val="32"/>
          <w:highlight w:val="none"/>
        </w:rPr>
      </w:pPr>
    </w:p>
    <w:p>
      <w:pPr>
        <w:spacing w:line="500" w:lineRule="exact"/>
        <w:jc w:val="center"/>
        <w:outlineLvl w:val="0"/>
        <w:rPr>
          <w:rFonts w:hint="eastAsia" w:ascii="仿宋" w:hAnsi="仿宋" w:eastAsia="仿宋" w:cs="仿宋"/>
          <w:b/>
          <w:sz w:val="32"/>
          <w:szCs w:val="18"/>
          <w:highlight w:val="none"/>
          <w:lang w:eastAsia="zh-CN"/>
        </w:rPr>
      </w:pPr>
      <w:r>
        <w:rPr>
          <w:rFonts w:hint="eastAsia" w:ascii="仿宋" w:hAnsi="仿宋" w:eastAsia="仿宋" w:cs="仿宋"/>
          <w:b/>
          <w:sz w:val="32"/>
          <w:szCs w:val="18"/>
          <w:highlight w:val="none"/>
          <w:lang w:eastAsia="zh-CN"/>
        </w:rPr>
        <w:t>采购人</w:t>
      </w:r>
      <w:r>
        <w:rPr>
          <w:rFonts w:hint="eastAsia" w:ascii="仿宋" w:hAnsi="仿宋" w:eastAsia="仿宋" w:cs="仿宋"/>
          <w:b/>
          <w:sz w:val="32"/>
          <w:szCs w:val="18"/>
          <w:highlight w:val="none"/>
        </w:rPr>
        <w:t>：</w:t>
      </w:r>
      <w:r>
        <w:rPr>
          <w:rFonts w:hint="eastAsia" w:ascii="仿宋" w:hAnsi="仿宋" w:eastAsia="仿宋" w:cs="仿宋"/>
          <w:b/>
          <w:sz w:val="32"/>
          <w:szCs w:val="18"/>
          <w:highlight w:val="none"/>
          <w:lang w:eastAsia="zh-CN"/>
        </w:rPr>
        <w:t>重庆两江新区人民医院</w:t>
      </w:r>
    </w:p>
    <w:p>
      <w:pPr>
        <w:spacing w:line="500" w:lineRule="exact"/>
        <w:jc w:val="center"/>
        <w:outlineLvl w:val="0"/>
        <w:rPr>
          <w:rFonts w:hint="eastAsia" w:ascii="仿宋" w:hAnsi="仿宋" w:eastAsia="仿宋" w:cs="仿宋"/>
          <w:b/>
          <w:sz w:val="32"/>
          <w:szCs w:val="18"/>
          <w:highlight w:val="none"/>
        </w:rPr>
      </w:pPr>
      <w:r>
        <w:rPr>
          <w:rFonts w:hint="eastAsia" w:ascii="仿宋" w:hAnsi="仿宋" w:eastAsia="仿宋" w:cs="仿宋"/>
          <w:b/>
          <w:sz w:val="32"/>
          <w:szCs w:val="18"/>
          <w:highlight w:val="none"/>
        </w:rPr>
        <w:t>采购代理机构：重庆和定招标代理有限责任公司</w:t>
      </w:r>
    </w:p>
    <w:p>
      <w:pPr>
        <w:snapToGrid w:val="0"/>
        <w:spacing w:line="500" w:lineRule="exact"/>
        <w:jc w:val="center"/>
        <w:rPr>
          <w:rFonts w:hint="eastAsia" w:ascii="仿宋" w:hAnsi="仿宋" w:eastAsia="仿宋" w:cs="仿宋"/>
          <w:b/>
          <w:sz w:val="36"/>
          <w:highlight w:val="none"/>
        </w:rPr>
      </w:pPr>
    </w:p>
    <w:p>
      <w:pPr>
        <w:snapToGrid w:val="0"/>
        <w:spacing w:line="500" w:lineRule="exact"/>
        <w:jc w:val="center"/>
        <w:rPr>
          <w:rFonts w:hint="eastAsia" w:ascii="仿宋" w:hAnsi="仿宋" w:eastAsia="仿宋" w:cs="仿宋"/>
          <w:b/>
          <w:sz w:val="36"/>
          <w:highlight w:val="none"/>
        </w:rPr>
      </w:pPr>
    </w:p>
    <w:p>
      <w:pPr>
        <w:snapToGrid w:val="0"/>
        <w:spacing w:line="500" w:lineRule="exact"/>
        <w:jc w:val="center"/>
        <w:rPr>
          <w:rFonts w:hint="eastAsia" w:ascii="仿宋" w:hAnsi="仿宋" w:eastAsia="仿宋" w:cs="仿宋"/>
          <w:b/>
          <w:sz w:val="36"/>
          <w:highlight w:val="none"/>
        </w:rPr>
      </w:pPr>
    </w:p>
    <w:p>
      <w:pPr>
        <w:snapToGrid w:val="0"/>
        <w:spacing w:line="50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二</w:t>
      </w:r>
      <w:r>
        <w:rPr>
          <w:rFonts w:hint="eastAsia" w:ascii="仿宋" w:hAnsi="仿宋" w:eastAsia="仿宋" w:cs="仿宋"/>
          <w:b/>
          <w:sz w:val="44"/>
          <w:highlight w:val="none"/>
        </w:rPr>
        <w:t>月</w:t>
      </w:r>
    </w:p>
    <w:p>
      <w:pPr>
        <w:snapToGrid w:val="0"/>
        <w:spacing w:line="500" w:lineRule="exact"/>
        <w:jc w:val="center"/>
        <w:rPr>
          <w:rFonts w:hint="eastAsia" w:ascii="仿宋" w:hAnsi="仿宋" w:eastAsia="仿宋" w:cs="仿宋"/>
          <w:sz w:val="44"/>
          <w:highlight w:val="none"/>
        </w:rPr>
      </w:pPr>
      <w:r>
        <w:rPr>
          <w:rFonts w:hint="eastAsia" w:ascii="仿宋" w:hAnsi="仿宋" w:eastAsia="仿宋" w:cs="仿宋"/>
          <w:b/>
          <w:sz w:val="44"/>
          <w:highlight w:val="none"/>
        </w:rPr>
        <w:br w:type="page"/>
      </w:r>
      <w:r>
        <w:rPr>
          <w:rFonts w:hint="eastAsia" w:ascii="仿宋" w:hAnsi="仿宋" w:eastAsia="仿宋" w:cs="仿宋"/>
          <w:sz w:val="44"/>
          <w:highlight w:val="none"/>
        </w:rPr>
        <w:t>目  录</w:t>
      </w:r>
    </w:p>
    <w:p>
      <w:pPr>
        <w:pStyle w:val="12"/>
        <w:tabs>
          <w:tab w:val="right" w:leader="dot" w:pos="9412"/>
          <w:tab w:val="clear" w:pos="1260"/>
          <w:tab w:val="clear" w:pos="1685"/>
          <w:tab w:val="clear" w:pos="8400"/>
        </w:tabs>
        <w:rPr>
          <w:highlight w:val="none"/>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"1-2" \h \z </w:instrText>
      </w:r>
      <w:r>
        <w:rPr>
          <w:rFonts w:hint="eastAsia" w:ascii="仿宋" w:hAnsi="仿宋" w:eastAsia="仿宋" w:cs="仿宋"/>
          <w:sz w:val="21"/>
          <w:szCs w:val="21"/>
          <w:highlight w:val="none"/>
        </w:rPr>
        <w:fldChar w:fldCharType="separate"/>
      </w: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_Toc32697 </w:instrText>
      </w:r>
      <w:r>
        <w:rPr>
          <w:rFonts w:hint="eastAsia" w:ascii="仿宋" w:hAnsi="仿宋" w:eastAsia="仿宋" w:cs="仿宋"/>
          <w:szCs w:val="21"/>
          <w:highlight w:val="none"/>
        </w:rPr>
        <w:fldChar w:fldCharType="separate"/>
      </w:r>
      <w:r>
        <w:rPr>
          <w:rFonts w:hint="eastAsia" w:ascii="仿宋" w:hAnsi="仿宋" w:eastAsia="仿宋" w:cs="仿宋"/>
          <w:highlight w:val="none"/>
        </w:rPr>
        <w:t>第一篇 竞标邀请书</w:t>
      </w:r>
      <w:r>
        <w:rPr>
          <w:highlight w:val="none"/>
        </w:rPr>
        <w:tab/>
      </w:r>
      <w:r>
        <w:rPr>
          <w:highlight w:val="none"/>
        </w:rPr>
        <w:fldChar w:fldCharType="begin"/>
      </w:r>
      <w:r>
        <w:rPr>
          <w:highlight w:val="none"/>
        </w:rPr>
        <w:instrText xml:space="preserve"> PAGEREF _Toc32697 \h </w:instrText>
      </w:r>
      <w:r>
        <w:rPr>
          <w:highlight w:val="none"/>
        </w:rPr>
        <w:fldChar w:fldCharType="separate"/>
      </w:r>
      <w:r>
        <w:rPr>
          <w:highlight w:val="none"/>
        </w:rPr>
        <w:t>- 4 -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_Toc18663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一、项目内容</w:t>
      </w:r>
      <w:r>
        <w:rPr>
          <w:highlight w:val="none"/>
        </w:rPr>
        <w:tab/>
      </w:r>
      <w:r>
        <w:rPr>
          <w:highlight w:val="none"/>
        </w:rPr>
        <w:fldChar w:fldCharType="begin"/>
      </w:r>
      <w:r>
        <w:rPr>
          <w:highlight w:val="none"/>
        </w:rPr>
        <w:instrText xml:space="preserve"> PAGEREF _Toc18663 \h </w:instrText>
      </w:r>
      <w:r>
        <w:rPr>
          <w:highlight w:val="none"/>
        </w:rPr>
        <w:fldChar w:fldCharType="separate"/>
      </w:r>
      <w:r>
        <w:rPr>
          <w:highlight w:val="none"/>
        </w:rPr>
        <w:t>- 4 -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_Toc15246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二、资金来源</w:t>
      </w:r>
      <w:r>
        <w:rPr>
          <w:highlight w:val="none"/>
        </w:rPr>
        <w:tab/>
      </w:r>
      <w:r>
        <w:rPr>
          <w:highlight w:val="none"/>
        </w:rPr>
        <w:fldChar w:fldCharType="begin"/>
      </w:r>
      <w:r>
        <w:rPr>
          <w:highlight w:val="none"/>
        </w:rPr>
        <w:instrText xml:space="preserve"> PAGEREF _Toc15246 \h </w:instrText>
      </w:r>
      <w:r>
        <w:rPr>
          <w:highlight w:val="none"/>
        </w:rPr>
        <w:fldChar w:fldCharType="separate"/>
      </w:r>
      <w:r>
        <w:rPr>
          <w:highlight w:val="none"/>
        </w:rPr>
        <w:t>- 4 -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_Toc25975 </w:instrText>
      </w:r>
      <w:r>
        <w:rPr>
          <w:rFonts w:hint="eastAsia" w:ascii="仿宋" w:hAnsi="仿宋" w:eastAsia="仿宋" w:cs="仿宋"/>
          <w:szCs w:val="21"/>
          <w:highlight w:val="none"/>
        </w:rPr>
        <w:fldChar w:fldCharType="separate"/>
      </w:r>
      <w:r>
        <w:rPr>
          <w:rFonts w:hint="eastAsia" w:ascii="仿宋" w:hAnsi="仿宋" w:eastAsia="仿宋" w:cs="仿宋"/>
          <w:kern w:val="2"/>
          <w:highlight w:val="none"/>
          <w:lang w:val="en-US" w:eastAsia="zh-CN" w:bidi="ar-SA"/>
        </w:rPr>
        <w:t>三、</w:t>
      </w:r>
      <w:r>
        <w:rPr>
          <w:rFonts w:hint="eastAsia" w:ascii="仿宋" w:hAnsi="仿宋" w:eastAsia="仿宋" w:cs="仿宋"/>
          <w:highlight w:val="none"/>
          <w:lang w:eastAsia="zh-CN"/>
        </w:rPr>
        <w:t>供应商</w:t>
      </w:r>
      <w:r>
        <w:rPr>
          <w:rFonts w:hint="eastAsia" w:ascii="仿宋" w:hAnsi="仿宋" w:eastAsia="仿宋" w:cs="仿宋"/>
          <w:highlight w:val="none"/>
        </w:rPr>
        <w:t>资格要求</w:t>
      </w:r>
      <w:r>
        <w:rPr>
          <w:highlight w:val="none"/>
        </w:rPr>
        <w:tab/>
      </w:r>
      <w:r>
        <w:rPr>
          <w:highlight w:val="none"/>
        </w:rPr>
        <w:fldChar w:fldCharType="begin"/>
      </w:r>
      <w:r>
        <w:rPr>
          <w:highlight w:val="none"/>
        </w:rPr>
        <w:instrText xml:space="preserve"> PAGEREF _Toc25975 \h </w:instrText>
      </w:r>
      <w:r>
        <w:rPr>
          <w:highlight w:val="none"/>
        </w:rPr>
        <w:fldChar w:fldCharType="separate"/>
      </w:r>
      <w:r>
        <w:rPr>
          <w:highlight w:val="none"/>
        </w:rPr>
        <w:t>- 4 -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_Toc23759 </w:instrText>
      </w:r>
      <w:r>
        <w:rPr>
          <w:rFonts w:hint="eastAsia" w:ascii="仿宋" w:hAnsi="仿宋" w:eastAsia="仿宋" w:cs="仿宋"/>
          <w:szCs w:val="21"/>
          <w:highlight w:val="none"/>
        </w:rPr>
        <w:fldChar w:fldCharType="separate"/>
      </w:r>
      <w:r>
        <w:rPr>
          <w:rFonts w:hint="eastAsia" w:ascii="仿宋" w:hAnsi="仿宋" w:eastAsia="仿宋" w:cs="仿宋"/>
          <w:highlight w:val="none"/>
          <w:lang w:eastAsia="zh-CN"/>
        </w:rPr>
        <w:t>四、竞标、开标有关说明</w:t>
      </w:r>
      <w:r>
        <w:rPr>
          <w:highlight w:val="none"/>
        </w:rPr>
        <w:tab/>
      </w:r>
      <w:r>
        <w:rPr>
          <w:highlight w:val="none"/>
        </w:rPr>
        <w:fldChar w:fldCharType="begin"/>
      </w:r>
      <w:r>
        <w:rPr>
          <w:highlight w:val="none"/>
        </w:rPr>
        <w:instrText xml:space="preserve"> PAGEREF _Toc23759 \h </w:instrText>
      </w:r>
      <w:r>
        <w:rPr>
          <w:highlight w:val="none"/>
        </w:rPr>
        <w:fldChar w:fldCharType="separate"/>
      </w:r>
      <w:r>
        <w:rPr>
          <w:highlight w:val="none"/>
        </w:rPr>
        <w:t>- 4 -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_Toc26495 </w:instrText>
      </w:r>
      <w:r>
        <w:rPr>
          <w:rFonts w:hint="eastAsia" w:ascii="仿宋" w:hAnsi="仿宋" w:eastAsia="仿宋" w:cs="仿宋"/>
          <w:szCs w:val="21"/>
          <w:highlight w:val="none"/>
        </w:rPr>
        <w:fldChar w:fldCharType="separate"/>
      </w:r>
      <w:r>
        <w:rPr>
          <w:rFonts w:hint="eastAsia" w:ascii="仿宋" w:hAnsi="仿宋" w:eastAsia="仿宋" w:cs="仿宋"/>
          <w:szCs w:val="22"/>
          <w:highlight w:val="none"/>
        </w:rPr>
        <w:t>五、</w:t>
      </w:r>
      <w:r>
        <w:rPr>
          <w:rFonts w:hint="eastAsia" w:ascii="仿宋" w:hAnsi="仿宋" w:eastAsia="仿宋" w:cs="仿宋"/>
          <w:highlight w:val="none"/>
        </w:rPr>
        <w:t>竞标有关规定</w:t>
      </w:r>
      <w:r>
        <w:rPr>
          <w:highlight w:val="none"/>
        </w:rPr>
        <w:tab/>
      </w:r>
      <w:r>
        <w:rPr>
          <w:highlight w:val="none"/>
        </w:rPr>
        <w:fldChar w:fldCharType="begin"/>
      </w:r>
      <w:r>
        <w:rPr>
          <w:highlight w:val="none"/>
        </w:rPr>
        <w:instrText xml:space="preserve"> PAGEREF _Toc26495 \h </w:instrText>
      </w:r>
      <w:r>
        <w:rPr>
          <w:highlight w:val="none"/>
        </w:rPr>
        <w:fldChar w:fldCharType="separate"/>
      </w:r>
      <w:r>
        <w:rPr>
          <w:highlight w:val="none"/>
        </w:rPr>
        <w:t>- 5 -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_Toc17787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eastAsia="zh-CN"/>
        </w:rPr>
        <w:t>六</w:t>
      </w:r>
      <w:r>
        <w:rPr>
          <w:rFonts w:hint="eastAsia" w:ascii="仿宋" w:hAnsi="仿宋" w:eastAsia="仿宋" w:cs="仿宋"/>
          <w:highlight w:val="none"/>
        </w:rPr>
        <w:t>、联系方式</w:t>
      </w:r>
      <w:r>
        <w:rPr>
          <w:highlight w:val="none"/>
        </w:rPr>
        <w:tab/>
      </w:r>
      <w:r>
        <w:rPr>
          <w:highlight w:val="none"/>
        </w:rPr>
        <w:fldChar w:fldCharType="begin"/>
      </w:r>
      <w:r>
        <w:rPr>
          <w:highlight w:val="none"/>
        </w:rPr>
        <w:instrText xml:space="preserve"> PAGEREF _Toc17787 \h </w:instrText>
      </w:r>
      <w:r>
        <w:rPr>
          <w:highlight w:val="none"/>
        </w:rPr>
        <w:fldChar w:fldCharType="separate"/>
      </w:r>
      <w:r>
        <w:rPr>
          <w:highlight w:val="none"/>
        </w:rPr>
        <w:t>- 5 -</w:t>
      </w:r>
      <w:r>
        <w:rPr>
          <w:highlight w:val="none"/>
        </w:rPr>
        <w:fldChar w:fldCharType="end"/>
      </w:r>
      <w:r>
        <w:rPr>
          <w:rFonts w:hint="eastAsia" w:ascii="仿宋" w:hAnsi="仿宋" w:eastAsia="仿宋" w:cs="仿宋"/>
          <w:szCs w:val="21"/>
          <w:highlight w:val="none"/>
        </w:rPr>
        <w:fldChar w:fldCharType="end"/>
      </w:r>
    </w:p>
    <w:p>
      <w:pPr>
        <w:pStyle w:val="12"/>
        <w:tabs>
          <w:tab w:val="right" w:leader="dot" w:pos="9412"/>
          <w:tab w:val="clear" w:pos="1260"/>
          <w:tab w:val="clear" w:pos="1685"/>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_Toc209 </w:instrText>
      </w:r>
      <w:r>
        <w:rPr>
          <w:rFonts w:hint="eastAsia" w:ascii="仿宋" w:hAnsi="仿宋" w:eastAsia="仿宋" w:cs="仿宋"/>
          <w:szCs w:val="21"/>
          <w:highlight w:val="none"/>
        </w:rPr>
        <w:fldChar w:fldCharType="separate"/>
      </w:r>
      <w:r>
        <w:rPr>
          <w:rFonts w:hint="eastAsia" w:ascii="仿宋" w:hAnsi="仿宋" w:eastAsia="仿宋" w:cs="仿宋"/>
          <w:highlight w:val="none"/>
          <w:lang w:val="en-US"/>
        </w:rPr>
        <w:t xml:space="preserve">第二篇 </w:t>
      </w:r>
      <w:r>
        <w:rPr>
          <w:rFonts w:hint="eastAsia" w:ascii="仿宋" w:hAnsi="仿宋" w:eastAsia="仿宋" w:cs="仿宋"/>
          <w:highlight w:val="none"/>
        </w:rPr>
        <w:t>项目服务要求</w:t>
      </w:r>
      <w:r>
        <w:rPr>
          <w:highlight w:val="none"/>
        </w:rPr>
        <w:tab/>
      </w:r>
      <w:r>
        <w:rPr>
          <w:highlight w:val="none"/>
        </w:rPr>
        <w:fldChar w:fldCharType="begin"/>
      </w:r>
      <w:r>
        <w:rPr>
          <w:highlight w:val="none"/>
        </w:rPr>
        <w:instrText xml:space="preserve"> PAGEREF _Toc209 \h </w:instrText>
      </w:r>
      <w:r>
        <w:rPr>
          <w:highlight w:val="none"/>
        </w:rPr>
        <w:fldChar w:fldCharType="separate"/>
      </w:r>
      <w:r>
        <w:rPr>
          <w:highlight w:val="none"/>
        </w:rPr>
        <w:t>- 7 -</w:t>
      </w:r>
      <w:r>
        <w:rPr>
          <w:highlight w:val="none"/>
        </w:rPr>
        <w:fldChar w:fldCharType="end"/>
      </w:r>
      <w:r>
        <w:rPr>
          <w:rFonts w:hint="eastAsia" w:ascii="仿宋" w:hAnsi="仿宋" w:eastAsia="仿宋" w:cs="仿宋"/>
          <w:szCs w:val="21"/>
          <w:highlight w:val="none"/>
        </w:rPr>
        <w:fldChar w:fldCharType="end"/>
      </w:r>
    </w:p>
    <w:p>
      <w:pPr>
        <w:pStyle w:val="12"/>
        <w:tabs>
          <w:tab w:val="right" w:leader="dot" w:pos="9412"/>
          <w:tab w:val="clear" w:pos="1260"/>
          <w:tab w:val="clear" w:pos="1685"/>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_Toc8356 </w:instrText>
      </w:r>
      <w:r>
        <w:rPr>
          <w:rFonts w:hint="eastAsia" w:ascii="仿宋" w:hAnsi="仿宋" w:eastAsia="仿宋" w:cs="仿宋"/>
          <w:szCs w:val="21"/>
          <w:highlight w:val="none"/>
        </w:rPr>
        <w:fldChar w:fldCharType="separate"/>
      </w:r>
      <w:r>
        <w:rPr>
          <w:rFonts w:hint="eastAsia" w:ascii="仿宋" w:hAnsi="仿宋" w:eastAsia="仿宋" w:cs="仿宋"/>
          <w:highlight w:val="none"/>
        </w:rPr>
        <w:t>第三篇  项目商务要求</w:t>
      </w:r>
      <w:r>
        <w:rPr>
          <w:highlight w:val="none"/>
        </w:rPr>
        <w:tab/>
      </w:r>
      <w:r>
        <w:rPr>
          <w:highlight w:val="none"/>
        </w:rPr>
        <w:fldChar w:fldCharType="begin"/>
      </w:r>
      <w:r>
        <w:rPr>
          <w:highlight w:val="none"/>
        </w:rPr>
        <w:instrText xml:space="preserve"> PAGEREF _Toc8356 \h </w:instrText>
      </w:r>
      <w:r>
        <w:rPr>
          <w:highlight w:val="none"/>
        </w:rPr>
        <w:fldChar w:fldCharType="separate"/>
      </w:r>
      <w:r>
        <w:rPr>
          <w:highlight w:val="none"/>
        </w:rPr>
        <w:t>- 13 -</w:t>
      </w:r>
      <w:r>
        <w:rPr>
          <w:highlight w:val="none"/>
        </w:rPr>
        <w:fldChar w:fldCharType="end"/>
      </w:r>
      <w:r>
        <w:rPr>
          <w:rFonts w:hint="eastAsia" w:ascii="仿宋" w:hAnsi="仿宋" w:eastAsia="仿宋" w:cs="仿宋"/>
          <w:szCs w:val="21"/>
          <w:highlight w:val="none"/>
        </w:rPr>
        <w:fldChar w:fldCharType="end"/>
      </w:r>
    </w:p>
    <w:p>
      <w:pPr>
        <w:pStyle w:val="12"/>
        <w:tabs>
          <w:tab w:val="right" w:leader="dot" w:pos="9412"/>
          <w:tab w:val="clear" w:pos="1260"/>
          <w:tab w:val="clear" w:pos="1685"/>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_Toc8767 </w:instrText>
      </w:r>
      <w:r>
        <w:rPr>
          <w:rFonts w:hint="eastAsia" w:ascii="仿宋" w:hAnsi="仿宋" w:eastAsia="仿宋" w:cs="仿宋"/>
          <w:szCs w:val="21"/>
          <w:highlight w:val="none"/>
        </w:rPr>
        <w:fldChar w:fldCharType="separate"/>
      </w:r>
      <w:r>
        <w:rPr>
          <w:rFonts w:hint="eastAsia" w:ascii="仿宋" w:hAnsi="仿宋" w:eastAsia="仿宋" w:cs="仿宋"/>
          <w:highlight w:val="none"/>
        </w:rPr>
        <w:t>第四篇  资格审查及评标办法</w:t>
      </w:r>
      <w:r>
        <w:rPr>
          <w:highlight w:val="none"/>
        </w:rPr>
        <w:tab/>
      </w:r>
      <w:r>
        <w:rPr>
          <w:highlight w:val="none"/>
        </w:rPr>
        <w:fldChar w:fldCharType="begin"/>
      </w:r>
      <w:r>
        <w:rPr>
          <w:highlight w:val="none"/>
        </w:rPr>
        <w:instrText xml:space="preserve"> PAGEREF _Toc8767 \h </w:instrText>
      </w:r>
      <w:r>
        <w:rPr>
          <w:highlight w:val="none"/>
        </w:rPr>
        <w:fldChar w:fldCharType="separate"/>
      </w:r>
      <w:r>
        <w:rPr>
          <w:highlight w:val="none"/>
        </w:rPr>
        <w:t>- 15 -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_Toc15841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一、评标方法</w:t>
      </w:r>
      <w:r>
        <w:rPr>
          <w:highlight w:val="none"/>
        </w:rPr>
        <w:tab/>
      </w:r>
      <w:r>
        <w:rPr>
          <w:highlight w:val="none"/>
        </w:rPr>
        <w:fldChar w:fldCharType="begin"/>
      </w:r>
      <w:r>
        <w:rPr>
          <w:highlight w:val="none"/>
        </w:rPr>
        <w:instrText xml:space="preserve"> PAGEREF _Toc15841 \h </w:instrText>
      </w:r>
      <w:r>
        <w:rPr>
          <w:highlight w:val="none"/>
        </w:rPr>
        <w:fldChar w:fldCharType="separate"/>
      </w:r>
      <w:r>
        <w:rPr>
          <w:highlight w:val="none"/>
        </w:rPr>
        <w:t>- 15 -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_Toc19084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二、评标标准</w:t>
      </w:r>
      <w:r>
        <w:rPr>
          <w:highlight w:val="none"/>
        </w:rPr>
        <w:tab/>
      </w:r>
      <w:r>
        <w:rPr>
          <w:highlight w:val="none"/>
        </w:rPr>
        <w:fldChar w:fldCharType="begin"/>
      </w:r>
      <w:r>
        <w:rPr>
          <w:highlight w:val="none"/>
        </w:rPr>
        <w:instrText xml:space="preserve"> PAGEREF _Toc19084 \h </w:instrText>
      </w:r>
      <w:r>
        <w:rPr>
          <w:highlight w:val="none"/>
        </w:rPr>
        <w:fldChar w:fldCharType="separate"/>
      </w:r>
      <w:r>
        <w:rPr>
          <w:highlight w:val="none"/>
        </w:rPr>
        <w:t>- 17 -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_Toc9222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三、无效</w:t>
      </w:r>
      <w:r>
        <w:rPr>
          <w:rFonts w:hint="eastAsia" w:ascii="仿宋" w:hAnsi="仿宋" w:eastAsia="仿宋" w:cs="仿宋"/>
          <w:szCs w:val="24"/>
          <w:highlight w:val="none"/>
          <w:lang w:eastAsia="zh-CN"/>
        </w:rPr>
        <w:t>竞标</w:t>
      </w:r>
      <w:r>
        <w:rPr>
          <w:highlight w:val="none"/>
        </w:rPr>
        <w:tab/>
      </w:r>
      <w:r>
        <w:rPr>
          <w:highlight w:val="none"/>
        </w:rPr>
        <w:fldChar w:fldCharType="begin"/>
      </w:r>
      <w:r>
        <w:rPr>
          <w:highlight w:val="none"/>
        </w:rPr>
        <w:instrText xml:space="preserve"> PAGEREF _Toc9222 \h </w:instrText>
      </w:r>
      <w:r>
        <w:rPr>
          <w:highlight w:val="none"/>
        </w:rPr>
        <w:fldChar w:fldCharType="separate"/>
      </w:r>
      <w:r>
        <w:rPr>
          <w:highlight w:val="none"/>
        </w:rPr>
        <w:t>- 18 -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_Toc32409 </w:instrText>
      </w:r>
      <w:r>
        <w:rPr>
          <w:rFonts w:hint="eastAsia" w:ascii="仿宋" w:hAnsi="仿宋" w:eastAsia="仿宋" w:cs="仿宋"/>
          <w:szCs w:val="21"/>
          <w:highlight w:val="none"/>
        </w:rPr>
        <w:fldChar w:fldCharType="separate"/>
      </w:r>
      <w:r>
        <w:rPr>
          <w:rFonts w:hint="eastAsia" w:ascii="仿宋" w:hAnsi="仿宋" w:eastAsia="仿宋" w:cs="仿宋"/>
          <w:szCs w:val="24"/>
          <w:highlight w:val="none"/>
        </w:rPr>
        <w:t>四、采购终止</w:t>
      </w:r>
      <w:r>
        <w:rPr>
          <w:highlight w:val="none"/>
        </w:rPr>
        <w:tab/>
      </w:r>
      <w:r>
        <w:rPr>
          <w:highlight w:val="none"/>
        </w:rPr>
        <w:fldChar w:fldCharType="begin"/>
      </w:r>
      <w:r>
        <w:rPr>
          <w:highlight w:val="none"/>
        </w:rPr>
        <w:instrText xml:space="preserve"> PAGEREF _Toc32409 \h </w:instrText>
      </w:r>
      <w:r>
        <w:rPr>
          <w:highlight w:val="none"/>
        </w:rPr>
        <w:fldChar w:fldCharType="separate"/>
      </w:r>
      <w:r>
        <w:rPr>
          <w:highlight w:val="none"/>
        </w:rPr>
        <w:t>- 18 -</w:t>
      </w:r>
      <w:r>
        <w:rPr>
          <w:highlight w:val="none"/>
        </w:rPr>
        <w:fldChar w:fldCharType="end"/>
      </w:r>
      <w:r>
        <w:rPr>
          <w:rFonts w:hint="eastAsia" w:ascii="仿宋" w:hAnsi="仿宋" w:eastAsia="仿宋" w:cs="仿宋"/>
          <w:szCs w:val="21"/>
          <w:highlight w:val="none"/>
        </w:rPr>
        <w:fldChar w:fldCharType="end"/>
      </w:r>
    </w:p>
    <w:p>
      <w:pPr>
        <w:pStyle w:val="12"/>
        <w:tabs>
          <w:tab w:val="right" w:leader="dot" w:pos="9412"/>
          <w:tab w:val="clear" w:pos="1260"/>
          <w:tab w:val="clear" w:pos="1685"/>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_Toc18830 </w:instrText>
      </w:r>
      <w:r>
        <w:rPr>
          <w:rFonts w:hint="eastAsia" w:ascii="仿宋" w:hAnsi="仿宋" w:eastAsia="仿宋" w:cs="仿宋"/>
          <w:szCs w:val="21"/>
          <w:highlight w:val="none"/>
        </w:rPr>
        <w:fldChar w:fldCharType="separate"/>
      </w:r>
      <w:r>
        <w:rPr>
          <w:rFonts w:hint="eastAsia" w:ascii="仿宋" w:hAnsi="仿宋" w:eastAsia="仿宋" w:cs="仿宋"/>
          <w:highlight w:val="none"/>
        </w:rPr>
        <w:t xml:space="preserve">第五篇  </w:t>
      </w:r>
      <w:r>
        <w:rPr>
          <w:rFonts w:hint="eastAsia" w:ascii="仿宋" w:hAnsi="仿宋" w:eastAsia="仿宋" w:cs="仿宋"/>
          <w:highlight w:val="none"/>
          <w:lang w:eastAsia="zh-CN"/>
        </w:rPr>
        <w:t>供应商</w:t>
      </w:r>
      <w:r>
        <w:rPr>
          <w:rFonts w:hint="eastAsia" w:ascii="仿宋" w:hAnsi="仿宋" w:eastAsia="仿宋" w:cs="仿宋"/>
          <w:highlight w:val="none"/>
        </w:rPr>
        <w:t>须知</w:t>
      </w:r>
      <w:r>
        <w:rPr>
          <w:highlight w:val="none"/>
        </w:rPr>
        <w:tab/>
      </w:r>
      <w:r>
        <w:rPr>
          <w:highlight w:val="none"/>
        </w:rPr>
        <w:fldChar w:fldCharType="begin"/>
      </w:r>
      <w:r>
        <w:rPr>
          <w:highlight w:val="none"/>
        </w:rPr>
        <w:instrText xml:space="preserve"> PAGEREF _Toc18830 \h </w:instrText>
      </w:r>
      <w:r>
        <w:rPr>
          <w:highlight w:val="none"/>
        </w:rPr>
        <w:fldChar w:fldCharType="separate"/>
      </w:r>
      <w:r>
        <w:rPr>
          <w:highlight w:val="none"/>
        </w:rPr>
        <w:t>- 19 -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_Toc27025 </w:instrText>
      </w:r>
      <w:r>
        <w:rPr>
          <w:rFonts w:hint="eastAsia" w:ascii="仿宋" w:hAnsi="仿宋" w:eastAsia="仿宋" w:cs="仿宋"/>
          <w:szCs w:val="21"/>
          <w:highlight w:val="none"/>
        </w:rPr>
        <w:fldChar w:fldCharType="separate"/>
      </w:r>
      <w:r>
        <w:rPr>
          <w:rFonts w:hint="eastAsia" w:ascii="仿宋" w:hAnsi="仿宋" w:eastAsia="仿宋" w:cs="仿宋"/>
          <w:highlight w:val="none"/>
        </w:rPr>
        <w:t>一、</w:t>
      </w:r>
      <w:r>
        <w:rPr>
          <w:rFonts w:hint="eastAsia" w:ascii="仿宋" w:hAnsi="仿宋" w:eastAsia="仿宋" w:cs="仿宋"/>
          <w:highlight w:val="none"/>
          <w:lang w:eastAsia="zh-CN"/>
        </w:rPr>
        <w:t>供应商</w:t>
      </w:r>
      <w:r>
        <w:rPr>
          <w:highlight w:val="none"/>
        </w:rPr>
        <w:tab/>
      </w:r>
      <w:r>
        <w:rPr>
          <w:highlight w:val="none"/>
        </w:rPr>
        <w:fldChar w:fldCharType="begin"/>
      </w:r>
      <w:r>
        <w:rPr>
          <w:highlight w:val="none"/>
        </w:rPr>
        <w:instrText xml:space="preserve"> PAGEREF _Toc27025 \h </w:instrText>
      </w:r>
      <w:r>
        <w:rPr>
          <w:highlight w:val="none"/>
        </w:rPr>
        <w:fldChar w:fldCharType="separate"/>
      </w:r>
      <w:r>
        <w:rPr>
          <w:highlight w:val="none"/>
        </w:rPr>
        <w:t>- 19 -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_Toc5139 </w:instrText>
      </w:r>
      <w:r>
        <w:rPr>
          <w:rFonts w:hint="eastAsia" w:ascii="仿宋" w:hAnsi="仿宋" w:eastAsia="仿宋" w:cs="仿宋"/>
          <w:szCs w:val="21"/>
          <w:highlight w:val="none"/>
        </w:rPr>
        <w:fldChar w:fldCharType="separate"/>
      </w:r>
      <w:r>
        <w:rPr>
          <w:rFonts w:hint="eastAsia" w:ascii="仿宋" w:hAnsi="仿宋" w:eastAsia="仿宋" w:cs="仿宋"/>
          <w:highlight w:val="none"/>
        </w:rPr>
        <w:t>二、竞争性比选文件</w:t>
      </w:r>
      <w:r>
        <w:rPr>
          <w:highlight w:val="none"/>
        </w:rPr>
        <w:tab/>
      </w:r>
      <w:r>
        <w:rPr>
          <w:highlight w:val="none"/>
        </w:rPr>
        <w:fldChar w:fldCharType="begin"/>
      </w:r>
      <w:r>
        <w:rPr>
          <w:highlight w:val="none"/>
        </w:rPr>
        <w:instrText xml:space="preserve"> PAGEREF _Toc5139 \h </w:instrText>
      </w:r>
      <w:r>
        <w:rPr>
          <w:highlight w:val="none"/>
        </w:rPr>
        <w:fldChar w:fldCharType="separate"/>
      </w:r>
      <w:r>
        <w:rPr>
          <w:highlight w:val="none"/>
        </w:rPr>
        <w:t>- 19 -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_Toc3419 </w:instrText>
      </w:r>
      <w:r>
        <w:rPr>
          <w:rFonts w:hint="eastAsia" w:ascii="仿宋" w:hAnsi="仿宋" w:eastAsia="仿宋" w:cs="仿宋"/>
          <w:szCs w:val="21"/>
          <w:highlight w:val="none"/>
        </w:rPr>
        <w:fldChar w:fldCharType="separate"/>
      </w:r>
      <w:r>
        <w:rPr>
          <w:rFonts w:hint="eastAsia" w:ascii="仿宋" w:hAnsi="仿宋" w:eastAsia="仿宋" w:cs="仿宋"/>
          <w:szCs w:val="22"/>
          <w:highlight w:val="none"/>
        </w:rPr>
        <w:t>三、</w:t>
      </w:r>
      <w:r>
        <w:rPr>
          <w:rFonts w:hint="eastAsia" w:ascii="仿宋" w:hAnsi="仿宋" w:eastAsia="仿宋" w:cs="仿宋"/>
          <w:szCs w:val="22"/>
          <w:highlight w:val="none"/>
          <w:lang w:eastAsia="zh-CN"/>
        </w:rPr>
        <w:t>申请文件</w:t>
      </w:r>
      <w:r>
        <w:rPr>
          <w:highlight w:val="none"/>
        </w:rPr>
        <w:tab/>
      </w:r>
      <w:r>
        <w:rPr>
          <w:highlight w:val="none"/>
        </w:rPr>
        <w:fldChar w:fldCharType="begin"/>
      </w:r>
      <w:r>
        <w:rPr>
          <w:highlight w:val="none"/>
        </w:rPr>
        <w:instrText xml:space="preserve"> PAGEREF _Toc3419 \h </w:instrText>
      </w:r>
      <w:r>
        <w:rPr>
          <w:highlight w:val="none"/>
        </w:rPr>
        <w:fldChar w:fldCharType="separate"/>
      </w:r>
      <w:r>
        <w:rPr>
          <w:highlight w:val="none"/>
        </w:rPr>
        <w:t>- 19 -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_Toc11722 </w:instrText>
      </w:r>
      <w:r>
        <w:rPr>
          <w:rFonts w:hint="eastAsia" w:ascii="仿宋" w:hAnsi="仿宋" w:eastAsia="仿宋" w:cs="仿宋"/>
          <w:szCs w:val="21"/>
          <w:highlight w:val="none"/>
        </w:rPr>
        <w:fldChar w:fldCharType="separate"/>
      </w:r>
      <w:r>
        <w:rPr>
          <w:rFonts w:hint="eastAsia" w:ascii="仿宋" w:hAnsi="仿宋" w:eastAsia="仿宋" w:cs="仿宋"/>
          <w:highlight w:val="none"/>
        </w:rPr>
        <w:t>四、开标</w:t>
      </w:r>
      <w:r>
        <w:rPr>
          <w:highlight w:val="none"/>
        </w:rPr>
        <w:tab/>
      </w:r>
      <w:r>
        <w:rPr>
          <w:highlight w:val="none"/>
        </w:rPr>
        <w:fldChar w:fldCharType="begin"/>
      </w:r>
      <w:r>
        <w:rPr>
          <w:highlight w:val="none"/>
        </w:rPr>
        <w:instrText xml:space="preserve"> PAGEREF _Toc11722 \h </w:instrText>
      </w:r>
      <w:r>
        <w:rPr>
          <w:highlight w:val="none"/>
        </w:rPr>
        <w:fldChar w:fldCharType="separate"/>
      </w:r>
      <w:r>
        <w:rPr>
          <w:highlight w:val="none"/>
        </w:rPr>
        <w:t>- 21 -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_Toc921 </w:instrText>
      </w:r>
      <w:r>
        <w:rPr>
          <w:rFonts w:hint="eastAsia" w:ascii="仿宋" w:hAnsi="仿宋" w:eastAsia="仿宋" w:cs="仿宋"/>
          <w:szCs w:val="21"/>
          <w:highlight w:val="none"/>
        </w:rPr>
        <w:fldChar w:fldCharType="separate"/>
      </w:r>
      <w:r>
        <w:rPr>
          <w:rFonts w:hint="eastAsia" w:ascii="仿宋" w:hAnsi="仿宋" w:eastAsia="仿宋" w:cs="仿宋"/>
          <w:highlight w:val="none"/>
        </w:rPr>
        <w:t>五、评标</w:t>
      </w:r>
      <w:r>
        <w:rPr>
          <w:highlight w:val="none"/>
        </w:rPr>
        <w:tab/>
      </w:r>
      <w:r>
        <w:rPr>
          <w:highlight w:val="none"/>
        </w:rPr>
        <w:fldChar w:fldCharType="begin"/>
      </w:r>
      <w:r>
        <w:rPr>
          <w:highlight w:val="none"/>
        </w:rPr>
        <w:instrText xml:space="preserve"> PAGEREF _Toc921 \h </w:instrText>
      </w:r>
      <w:r>
        <w:rPr>
          <w:highlight w:val="none"/>
        </w:rPr>
        <w:fldChar w:fldCharType="separate"/>
      </w:r>
      <w:r>
        <w:rPr>
          <w:highlight w:val="none"/>
        </w:rPr>
        <w:t>- 22 -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_Toc2310 </w:instrText>
      </w:r>
      <w:r>
        <w:rPr>
          <w:rFonts w:hint="eastAsia" w:ascii="仿宋" w:hAnsi="仿宋" w:eastAsia="仿宋" w:cs="仿宋"/>
          <w:szCs w:val="21"/>
          <w:highlight w:val="none"/>
        </w:rPr>
        <w:fldChar w:fldCharType="separate"/>
      </w:r>
      <w:r>
        <w:rPr>
          <w:rFonts w:hint="eastAsia" w:ascii="仿宋" w:hAnsi="仿宋" w:eastAsia="仿宋" w:cs="仿宋"/>
          <w:highlight w:val="none"/>
        </w:rPr>
        <w:t>六、定标、</w:t>
      </w:r>
      <w:r>
        <w:rPr>
          <w:rFonts w:hint="eastAsia" w:ascii="仿宋" w:hAnsi="仿宋" w:eastAsia="仿宋" w:cs="仿宋"/>
          <w:highlight w:val="none"/>
          <w:lang w:eastAsia="zh-CN"/>
        </w:rPr>
        <w:t>中选</w:t>
      </w:r>
      <w:r>
        <w:rPr>
          <w:rFonts w:hint="eastAsia" w:ascii="仿宋" w:hAnsi="仿宋" w:eastAsia="仿宋" w:cs="仿宋"/>
          <w:highlight w:val="none"/>
        </w:rPr>
        <w:t>公示及</w:t>
      </w:r>
      <w:r>
        <w:rPr>
          <w:rFonts w:hint="eastAsia" w:ascii="仿宋" w:hAnsi="仿宋" w:eastAsia="仿宋" w:cs="仿宋"/>
          <w:highlight w:val="none"/>
          <w:lang w:eastAsia="zh-CN"/>
        </w:rPr>
        <w:t>中选</w:t>
      </w:r>
      <w:r>
        <w:rPr>
          <w:rFonts w:hint="eastAsia" w:ascii="仿宋" w:hAnsi="仿宋" w:eastAsia="仿宋" w:cs="仿宋"/>
          <w:highlight w:val="none"/>
        </w:rPr>
        <w:t>通知</w:t>
      </w:r>
      <w:r>
        <w:rPr>
          <w:highlight w:val="none"/>
        </w:rPr>
        <w:tab/>
      </w:r>
      <w:r>
        <w:rPr>
          <w:highlight w:val="none"/>
        </w:rPr>
        <w:fldChar w:fldCharType="begin"/>
      </w:r>
      <w:r>
        <w:rPr>
          <w:highlight w:val="none"/>
        </w:rPr>
        <w:instrText xml:space="preserve"> PAGEREF _Toc2310 \h </w:instrText>
      </w:r>
      <w:r>
        <w:rPr>
          <w:highlight w:val="none"/>
        </w:rPr>
        <w:fldChar w:fldCharType="separate"/>
      </w:r>
      <w:r>
        <w:rPr>
          <w:highlight w:val="none"/>
        </w:rPr>
        <w:t>- 22 -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_Toc8102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七、比选代理服务费</w:t>
      </w:r>
      <w:r>
        <w:rPr>
          <w:highlight w:val="none"/>
        </w:rPr>
        <w:tab/>
      </w:r>
      <w:r>
        <w:rPr>
          <w:highlight w:val="none"/>
        </w:rPr>
        <w:fldChar w:fldCharType="begin"/>
      </w:r>
      <w:r>
        <w:rPr>
          <w:highlight w:val="none"/>
        </w:rPr>
        <w:instrText xml:space="preserve"> PAGEREF _Toc8102 \h </w:instrText>
      </w:r>
      <w:r>
        <w:rPr>
          <w:highlight w:val="none"/>
        </w:rPr>
        <w:fldChar w:fldCharType="separate"/>
      </w:r>
      <w:r>
        <w:rPr>
          <w:highlight w:val="none"/>
        </w:rPr>
        <w:t>- 22 -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_Toc29888 </w:instrText>
      </w:r>
      <w:r>
        <w:rPr>
          <w:rFonts w:hint="eastAsia" w:ascii="仿宋" w:hAnsi="仿宋" w:eastAsia="仿宋" w:cs="仿宋"/>
          <w:szCs w:val="21"/>
          <w:highlight w:val="none"/>
        </w:rPr>
        <w:fldChar w:fldCharType="separate"/>
      </w:r>
      <w:r>
        <w:rPr>
          <w:rFonts w:hint="eastAsia" w:ascii="仿宋" w:hAnsi="仿宋" w:eastAsia="仿宋" w:cs="仿宋"/>
          <w:highlight w:val="none"/>
        </w:rPr>
        <w:t>八、签订合同</w:t>
      </w:r>
      <w:r>
        <w:rPr>
          <w:highlight w:val="none"/>
        </w:rPr>
        <w:tab/>
      </w:r>
      <w:r>
        <w:rPr>
          <w:highlight w:val="none"/>
        </w:rPr>
        <w:fldChar w:fldCharType="begin"/>
      </w:r>
      <w:r>
        <w:rPr>
          <w:highlight w:val="none"/>
        </w:rPr>
        <w:instrText xml:space="preserve"> PAGEREF _Toc29888 \h </w:instrText>
      </w:r>
      <w:r>
        <w:rPr>
          <w:highlight w:val="none"/>
        </w:rPr>
        <w:fldChar w:fldCharType="separate"/>
      </w:r>
      <w:r>
        <w:rPr>
          <w:highlight w:val="none"/>
        </w:rPr>
        <w:t>- 22 -</w:t>
      </w:r>
      <w:r>
        <w:rPr>
          <w:highlight w:val="none"/>
        </w:rPr>
        <w:fldChar w:fldCharType="end"/>
      </w:r>
      <w:r>
        <w:rPr>
          <w:rFonts w:hint="eastAsia" w:ascii="仿宋" w:hAnsi="仿宋" w:eastAsia="仿宋" w:cs="仿宋"/>
          <w:szCs w:val="21"/>
          <w:highlight w:val="none"/>
        </w:rPr>
        <w:fldChar w:fldCharType="end"/>
      </w:r>
    </w:p>
    <w:p>
      <w:pPr>
        <w:pStyle w:val="12"/>
        <w:tabs>
          <w:tab w:val="right" w:leader="dot" w:pos="9412"/>
          <w:tab w:val="clear" w:pos="1260"/>
          <w:tab w:val="clear" w:pos="1685"/>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_Toc16758 </w:instrText>
      </w:r>
      <w:r>
        <w:rPr>
          <w:rFonts w:hint="eastAsia" w:ascii="仿宋" w:hAnsi="仿宋" w:eastAsia="仿宋" w:cs="仿宋"/>
          <w:szCs w:val="21"/>
          <w:highlight w:val="none"/>
        </w:rPr>
        <w:fldChar w:fldCharType="separate"/>
      </w:r>
      <w:r>
        <w:rPr>
          <w:rFonts w:hint="eastAsia" w:ascii="仿宋" w:hAnsi="仿宋" w:eastAsia="仿宋" w:cs="仿宋"/>
          <w:highlight w:val="none"/>
        </w:rPr>
        <w:t>第六篇  合同主要条款和格式合同（参考样本）</w:t>
      </w:r>
      <w:r>
        <w:rPr>
          <w:highlight w:val="none"/>
        </w:rPr>
        <w:tab/>
      </w:r>
      <w:r>
        <w:rPr>
          <w:highlight w:val="none"/>
        </w:rPr>
        <w:fldChar w:fldCharType="begin"/>
      </w:r>
      <w:r>
        <w:rPr>
          <w:highlight w:val="none"/>
        </w:rPr>
        <w:instrText xml:space="preserve"> PAGEREF _Toc16758 \h </w:instrText>
      </w:r>
      <w:r>
        <w:rPr>
          <w:highlight w:val="none"/>
        </w:rPr>
        <w:fldChar w:fldCharType="separate"/>
      </w:r>
      <w:r>
        <w:rPr>
          <w:highlight w:val="none"/>
        </w:rPr>
        <w:t>- 24 -</w:t>
      </w:r>
      <w:r>
        <w:rPr>
          <w:highlight w:val="none"/>
        </w:rPr>
        <w:fldChar w:fldCharType="end"/>
      </w:r>
      <w:r>
        <w:rPr>
          <w:rFonts w:hint="eastAsia" w:ascii="仿宋" w:hAnsi="仿宋" w:eastAsia="仿宋" w:cs="仿宋"/>
          <w:szCs w:val="21"/>
          <w:highlight w:val="none"/>
        </w:rPr>
        <w:fldChar w:fldCharType="end"/>
      </w:r>
    </w:p>
    <w:p>
      <w:pPr>
        <w:pStyle w:val="12"/>
        <w:tabs>
          <w:tab w:val="right" w:leader="dot" w:pos="9412"/>
          <w:tab w:val="clear" w:pos="1260"/>
          <w:tab w:val="clear" w:pos="1685"/>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_Toc26759 </w:instrText>
      </w:r>
      <w:r>
        <w:rPr>
          <w:rFonts w:hint="eastAsia" w:ascii="仿宋" w:hAnsi="仿宋" w:eastAsia="仿宋" w:cs="仿宋"/>
          <w:szCs w:val="21"/>
          <w:highlight w:val="none"/>
        </w:rPr>
        <w:fldChar w:fldCharType="separate"/>
      </w:r>
      <w:r>
        <w:rPr>
          <w:rFonts w:hint="eastAsia" w:ascii="仿宋" w:hAnsi="仿宋" w:eastAsia="仿宋" w:cs="仿宋"/>
          <w:highlight w:val="none"/>
        </w:rPr>
        <w:t xml:space="preserve">第七篇  </w:t>
      </w:r>
      <w:r>
        <w:rPr>
          <w:rFonts w:hint="eastAsia" w:ascii="仿宋" w:hAnsi="仿宋" w:eastAsia="仿宋" w:cs="仿宋"/>
          <w:highlight w:val="none"/>
          <w:lang w:eastAsia="zh-CN"/>
        </w:rPr>
        <w:t>申请文件</w:t>
      </w:r>
      <w:r>
        <w:rPr>
          <w:rFonts w:hint="eastAsia" w:ascii="仿宋" w:hAnsi="仿宋" w:eastAsia="仿宋" w:cs="仿宋"/>
          <w:highlight w:val="none"/>
        </w:rPr>
        <w:t>格式</w:t>
      </w:r>
      <w:r>
        <w:rPr>
          <w:highlight w:val="none"/>
        </w:rPr>
        <w:tab/>
      </w:r>
      <w:r>
        <w:rPr>
          <w:highlight w:val="none"/>
        </w:rPr>
        <w:fldChar w:fldCharType="begin"/>
      </w:r>
      <w:r>
        <w:rPr>
          <w:highlight w:val="none"/>
        </w:rPr>
        <w:instrText xml:space="preserve"> PAGEREF _Toc26759 \h </w:instrText>
      </w:r>
      <w:r>
        <w:rPr>
          <w:highlight w:val="none"/>
        </w:rPr>
        <w:fldChar w:fldCharType="separate"/>
      </w:r>
      <w:r>
        <w:rPr>
          <w:highlight w:val="none"/>
        </w:rPr>
        <w:t>- 26 -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_Toc16342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一、经济文件</w:t>
      </w:r>
      <w:r>
        <w:rPr>
          <w:highlight w:val="none"/>
        </w:rPr>
        <w:tab/>
      </w:r>
      <w:r>
        <w:rPr>
          <w:highlight w:val="none"/>
        </w:rPr>
        <w:fldChar w:fldCharType="begin"/>
      </w:r>
      <w:r>
        <w:rPr>
          <w:highlight w:val="none"/>
        </w:rPr>
        <w:instrText xml:space="preserve"> PAGEREF _Toc16342 \h </w:instrText>
      </w:r>
      <w:r>
        <w:rPr>
          <w:highlight w:val="none"/>
        </w:rPr>
        <w:fldChar w:fldCharType="separate"/>
      </w:r>
      <w:r>
        <w:rPr>
          <w:highlight w:val="none"/>
        </w:rPr>
        <w:t>- 29 -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_Toc20290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二、资格文件</w:t>
      </w:r>
      <w:r>
        <w:rPr>
          <w:highlight w:val="none"/>
        </w:rPr>
        <w:tab/>
      </w:r>
      <w:r>
        <w:rPr>
          <w:highlight w:val="none"/>
        </w:rPr>
        <w:fldChar w:fldCharType="begin"/>
      </w:r>
      <w:r>
        <w:rPr>
          <w:highlight w:val="none"/>
        </w:rPr>
        <w:instrText xml:space="preserve"> PAGEREF _Toc20290 \h </w:instrText>
      </w:r>
      <w:r>
        <w:rPr>
          <w:highlight w:val="none"/>
        </w:rPr>
        <w:fldChar w:fldCharType="separate"/>
      </w:r>
      <w:r>
        <w:rPr>
          <w:highlight w:val="none"/>
        </w:rPr>
        <w:t>- 31 -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_Toc23332 </w:instrText>
      </w:r>
      <w:r>
        <w:rPr>
          <w:rFonts w:hint="eastAsia" w:ascii="仿宋" w:hAnsi="仿宋" w:eastAsia="仿宋" w:cs="仿宋"/>
          <w:szCs w:val="21"/>
          <w:highlight w:val="none"/>
        </w:rPr>
        <w:fldChar w:fldCharType="separate"/>
      </w:r>
      <w:r>
        <w:rPr>
          <w:rFonts w:hint="eastAsia" w:ascii="仿宋" w:hAnsi="仿宋" w:eastAsia="仿宋" w:cs="仿宋"/>
          <w:highlight w:val="none"/>
        </w:rPr>
        <w:t>三、</w:t>
      </w:r>
      <w:r>
        <w:rPr>
          <w:rFonts w:hint="eastAsia" w:ascii="仿宋" w:hAnsi="仿宋" w:eastAsia="仿宋" w:cs="仿宋"/>
          <w:highlight w:val="none"/>
          <w:lang w:val="en-US" w:eastAsia="zh-CN"/>
        </w:rPr>
        <w:t>服务</w:t>
      </w:r>
      <w:r>
        <w:rPr>
          <w:rFonts w:hint="eastAsia" w:ascii="仿宋" w:hAnsi="仿宋" w:eastAsia="仿宋" w:cs="仿宋"/>
          <w:highlight w:val="none"/>
        </w:rPr>
        <w:t>文件</w:t>
      </w:r>
      <w:r>
        <w:rPr>
          <w:highlight w:val="none"/>
        </w:rPr>
        <w:tab/>
      </w:r>
      <w:r>
        <w:rPr>
          <w:highlight w:val="none"/>
        </w:rPr>
        <w:fldChar w:fldCharType="begin"/>
      </w:r>
      <w:r>
        <w:rPr>
          <w:highlight w:val="none"/>
        </w:rPr>
        <w:instrText xml:space="preserve"> PAGEREF _Toc23332 \h </w:instrText>
      </w:r>
      <w:r>
        <w:rPr>
          <w:highlight w:val="none"/>
        </w:rPr>
        <w:fldChar w:fldCharType="separate"/>
      </w:r>
      <w:r>
        <w:rPr>
          <w:highlight w:val="none"/>
        </w:rPr>
        <w:t>- 37 -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_Toc23164 </w:instrText>
      </w:r>
      <w:r>
        <w:rPr>
          <w:rFonts w:hint="eastAsia" w:ascii="仿宋" w:hAnsi="仿宋" w:eastAsia="仿宋" w:cs="仿宋"/>
          <w:szCs w:val="21"/>
          <w:highlight w:val="none"/>
        </w:rPr>
        <w:fldChar w:fldCharType="separate"/>
      </w:r>
      <w:r>
        <w:rPr>
          <w:rFonts w:hint="eastAsia" w:ascii="仿宋" w:hAnsi="仿宋" w:eastAsia="仿宋" w:cs="仿宋"/>
          <w:szCs w:val="28"/>
          <w:highlight w:val="none"/>
        </w:rPr>
        <w:t>四、商务文件</w:t>
      </w:r>
      <w:r>
        <w:rPr>
          <w:highlight w:val="none"/>
        </w:rPr>
        <w:tab/>
      </w:r>
      <w:r>
        <w:rPr>
          <w:highlight w:val="none"/>
        </w:rPr>
        <w:fldChar w:fldCharType="begin"/>
      </w:r>
      <w:r>
        <w:rPr>
          <w:highlight w:val="none"/>
        </w:rPr>
        <w:instrText xml:space="preserve"> PAGEREF _Toc23164 \h </w:instrText>
      </w:r>
      <w:r>
        <w:rPr>
          <w:highlight w:val="none"/>
        </w:rPr>
        <w:fldChar w:fldCharType="separate"/>
      </w:r>
      <w:r>
        <w:rPr>
          <w:highlight w:val="none"/>
        </w:rPr>
        <w:t>- 40 -</w:t>
      </w:r>
      <w:r>
        <w:rPr>
          <w:highlight w:val="none"/>
        </w:rPr>
        <w:fldChar w:fldCharType="end"/>
      </w:r>
      <w:r>
        <w:rPr>
          <w:rFonts w:hint="eastAsia" w:ascii="仿宋" w:hAnsi="仿宋" w:eastAsia="仿宋" w:cs="仿宋"/>
          <w:szCs w:val="21"/>
          <w:highlight w:val="none"/>
        </w:rPr>
        <w:fldChar w:fldCharType="end"/>
      </w:r>
    </w:p>
    <w:p>
      <w:pPr>
        <w:pStyle w:val="13"/>
        <w:tabs>
          <w:tab w:val="right" w:leader="dot" w:pos="9412"/>
          <w:tab w:val="clear" w:pos="8400"/>
        </w:tabs>
        <w:rPr>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_Toc16167 </w:instrText>
      </w:r>
      <w:r>
        <w:rPr>
          <w:rFonts w:hint="eastAsia" w:ascii="仿宋" w:hAnsi="仿宋" w:eastAsia="仿宋" w:cs="仿宋"/>
          <w:szCs w:val="21"/>
          <w:highlight w:val="none"/>
        </w:rPr>
        <w:fldChar w:fldCharType="separate"/>
      </w:r>
      <w:r>
        <w:rPr>
          <w:rFonts w:hint="eastAsia" w:ascii="仿宋" w:hAnsi="仿宋" w:eastAsia="仿宋" w:cs="仿宋"/>
          <w:bCs/>
          <w:szCs w:val="22"/>
          <w:highlight w:val="none"/>
        </w:rPr>
        <w:t>五、其他</w:t>
      </w:r>
      <w:r>
        <w:rPr>
          <w:highlight w:val="none"/>
        </w:rPr>
        <w:tab/>
      </w:r>
      <w:r>
        <w:rPr>
          <w:highlight w:val="none"/>
        </w:rPr>
        <w:fldChar w:fldCharType="begin"/>
      </w:r>
      <w:r>
        <w:rPr>
          <w:highlight w:val="none"/>
        </w:rPr>
        <w:instrText xml:space="preserve"> PAGEREF _Toc16167 \h </w:instrText>
      </w:r>
      <w:r>
        <w:rPr>
          <w:highlight w:val="none"/>
        </w:rPr>
        <w:fldChar w:fldCharType="separate"/>
      </w:r>
      <w:r>
        <w:rPr>
          <w:highlight w:val="none"/>
        </w:rPr>
        <w:t>- 44 -</w:t>
      </w:r>
      <w:r>
        <w:rPr>
          <w:highlight w:val="none"/>
        </w:rPr>
        <w:fldChar w:fldCharType="end"/>
      </w:r>
      <w:r>
        <w:rPr>
          <w:rFonts w:hint="eastAsia" w:ascii="仿宋" w:hAnsi="仿宋" w:eastAsia="仿宋" w:cs="仿宋"/>
          <w:szCs w:val="21"/>
          <w:highlight w:val="none"/>
        </w:rPr>
        <w:fldChar w:fldCharType="end"/>
      </w:r>
    </w:p>
    <w:p>
      <w:pPr>
        <w:pStyle w:val="12"/>
        <w:ind w:firstLine="0" w:firstLineChars="0"/>
        <w:rPr>
          <w:rFonts w:hint="eastAsia" w:ascii="仿宋" w:hAnsi="仿宋" w:eastAsia="仿宋" w:cs="仿宋"/>
          <w:sz w:val="32"/>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NumType w:fmt="numberInDash" w:start="1"/>
          <w:cols w:space="720" w:num="1"/>
          <w:docGrid w:linePitch="312" w:charSpace="0"/>
        </w:sectPr>
      </w:pPr>
      <w:r>
        <w:rPr>
          <w:rFonts w:hint="eastAsia" w:ascii="仿宋" w:hAnsi="仿宋" w:eastAsia="仿宋" w:cs="仿宋"/>
          <w:szCs w:val="21"/>
          <w:highlight w:val="none"/>
        </w:rPr>
        <w:fldChar w:fldCharType="end"/>
      </w:r>
    </w:p>
    <w:p>
      <w:pPr>
        <w:pStyle w:val="3"/>
        <w:spacing w:before="0" w:beforeLines="0" w:after="0" w:afterLines="0" w:line="360" w:lineRule="auto"/>
        <w:rPr>
          <w:rFonts w:hint="eastAsia" w:ascii="仿宋" w:hAnsi="仿宋" w:eastAsia="仿宋" w:cs="仿宋"/>
          <w:b/>
          <w:highlight w:val="none"/>
        </w:rPr>
      </w:pPr>
      <w:bookmarkStart w:id="1" w:name="_Toc32697"/>
      <w:r>
        <w:rPr>
          <w:rFonts w:hint="eastAsia" w:ascii="仿宋" w:hAnsi="仿宋" w:eastAsia="仿宋" w:cs="仿宋"/>
          <w:b/>
          <w:highlight w:val="none"/>
        </w:rPr>
        <w:t>第一篇 竞标邀请书</w:t>
      </w:r>
      <w:bookmarkEnd w:id="1"/>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重庆和定招标代理有限责任公司受</w:t>
      </w:r>
      <w:r>
        <w:rPr>
          <w:rFonts w:hint="eastAsia" w:ascii="仿宋" w:hAnsi="仿宋" w:eastAsia="仿宋" w:cs="仿宋"/>
          <w:sz w:val="24"/>
          <w:szCs w:val="24"/>
          <w:highlight w:val="none"/>
          <w:lang w:eastAsia="zh-CN"/>
        </w:rPr>
        <w:t>重庆两江新区人民医院</w:t>
      </w:r>
      <w:r>
        <w:rPr>
          <w:rFonts w:hint="eastAsia" w:ascii="仿宋" w:hAnsi="仿宋" w:eastAsia="仿宋" w:cs="仿宋"/>
          <w:sz w:val="24"/>
          <w:szCs w:val="24"/>
          <w:highlight w:val="none"/>
        </w:rPr>
        <w:t>的委托，对</w:t>
      </w:r>
      <w:r>
        <w:rPr>
          <w:rFonts w:hint="eastAsia" w:ascii="仿宋" w:hAnsi="仿宋" w:eastAsia="仿宋" w:cs="仿宋"/>
          <w:sz w:val="24"/>
          <w:szCs w:val="24"/>
          <w:highlight w:val="none"/>
          <w:lang w:eastAsia="zh-CN"/>
        </w:rPr>
        <w:t>重庆两江新区人民医院污水在线监测服务项目</w:t>
      </w:r>
      <w:r>
        <w:rPr>
          <w:rFonts w:hint="eastAsia" w:ascii="仿宋" w:hAnsi="仿宋" w:eastAsia="仿宋" w:cs="仿宋"/>
          <w:sz w:val="24"/>
          <w:szCs w:val="24"/>
          <w:highlight w:val="none"/>
        </w:rPr>
        <w:t>项目进行竞争性比选，欢迎有资格的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参加竞争性比选活动。</w:t>
      </w:r>
    </w:p>
    <w:p>
      <w:pPr>
        <w:pStyle w:val="4"/>
        <w:spacing w:line="500" w:lineRule="exact"/>
        <w:ind w:firstLine="482" w:firstLineChars="200"/>
        <w:rPr>
          <w:rFonts w:hint="eastAsia" w:ascii="仿宋" w:hAnsi="仿宋" w:eastAsia="仿宋" w:cs="仿宋"/>
          <w:b/>
          <w:sz w:val="24"/>
          <w:highlight w:val="none"/>
        </w:rPr>
      </w:pPr>
      <w:bookmarkStart w:id="2" w:name="_Toc18663"/>
      <w:r>
        <w:rPr>
          <w:rFonts w:hint="eastAsia" w:ascii="仿宋" w:hAnsi="仿宋" w:eastAsia="仿宋" w:cs="仿宋"/>
          <w:b/>
          <w:sz w:val="24"/>
          <w:highlight w:val="none"/>
        </w:rPr>
        <w:t>一、项目内容</w:t>
      </w:r>
      <w:bookmarkEnd w:id="2"/>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2721"/>
        <w:gridCol w:w="1983"/>
        <w:gridCol w:w="199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noWrap w:val="0"/>
            <w:vAlign w:val="center"/>
          </w:tcPr>
          <w:p>
            <w:pPr>
              <w:pStyle w:val="7"/>
              <w:spacing w:line="240" w:lineRule="atLeast"/>
              <w:ind w:left="0"/>
              <w:jc w:val="center"/>
              <w:outlineLvl w:val="0"/>
              <w:rPr>
                <w:rFonts w:hint="eastAsia" w:ascii="仿宋" w:hAnsi="仿宋" w:eastAsia="仿宋" w:cs="仿宋"/>
                <w:b/>
                <w:sz w:val="21"/>
                <w:szCs w:val="21"/>
                <w:highlight w:val="none"/>
                <w:lang w:eastAsia="zh-CN"/>
              </w:rPr>
            </w:pPr>
            <w:r>
              <w:rPr>
                <w:rFonts w:hint="eastAsia" w:ascii="仿宋" w:hAnsi="仿宋" w:eastAsia="仿宋" w:cs="仿宋"/>
                <w:b/>
                <w:sz w:val="21"/>
                <w:szCs w:val="21"/>
                <w:highlight w:val="none"/>
                <w:lang w:val="en-US" w:eastAsia="zh-CN"/>
              </w:rPr>
              <w:t>分包号</w:t>
            </w:r>
          </w:p>
        </w:tc>
        <w:tc>
          <w:tcPr>
            <w:tcW w:w="1413" w:type="pct"/>
            <w:noWrap w:val="0"/>
            <w:vAlign w:val="center"/>
          </w:tcPr>
          <w:p>
            <w:pPr>
              <w:pStyle w:val="7"/>
              <w:spacing w:line="240" w:lineRule="atLeast"/>
              <w:ind w:left="0"/>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lang w:val="en-US" w:eastAsia="zh-CN"/>
              </w:rPr>
              <w:t>项目</w:t>
            </w:r>
            <w:r>
              <w:rPr>
                <w:rFonts w:hint="eastAsia" w:ascii="仿宋" w:hAnsi="仿宋" w:eastAsia="仿宋" w:cs="仿宋"/>
                <w:b/>
                <w:sz w:val="21"/>
                <w:szCs w:val="21"/>
                <w:highlight w:val="none"/>
              </w:rPr>
              <w:t>名称</w:t>
            </w:r>
          </w:p>
        </w:tc>
        <w:tc>
          <w:tcPr>
            <w:tcW w:w="1030" w:type="pct"/>
            <w:noWrap w:val="0"/>
            <w:vAlign w:val="center"/>
          </w:tcPr>
          <w:p>
            <w:pPr>
              <w:pStyle w:val="7"/>
              <w:spacing w:line="240" w:lineRule="atLeast"/>
              <w:ind w:left="0"/>
              <w:jc w:val="center"/>
              <w:outlineLvl w:val="0"/>
              <w:rPr>
                <w:rFonts w:hint="eastAsia" w:ascii="仿宋" w:hAnsi="仿宋" w:eastAsia="仿宋" w:cs="仿宋"/>
                <w:b/>
                <w:sz w:val="21"/>
                <w:szCs w:val="21"/>
                <w:highlight w:val="none"/>
              </w:rPr>
            </w:pPr>
            <w:r>
              <w:rPr>
                <w:rFonts w:hint="eastAsia" w:ascii="仿宋" w:hAnsi="仿宋" w:eastAsia="仿宋" w:cs="仿宋"/>
                <w:b/>
                <w:sz w:val="21"/>
                <w:szCs w:val="21"/>
                <w:highlight w:val="none"/>
              </w:rPr>
              <w:t>最高限价（万元）</w:t>
            </w:r>
          </w:p>
        </w:tc>
        <w:tc>
          <w:tcPr>
            <w:tcW w:w="1034" w:type="pct"/>
            <w:noWrap w:val="0"/>
            <w:vAlign w:val="center"/>
          </w:tcPr>
          <w:p>
            <w:pPr>
              <w:pStyle w:val="7"/>
              <w:spacing w:line="240" w:lineRule="auto"/>
              <w:ind w:left="0"/>
              <w:jc w:val="center"/>
              <w:outlineLvl w:val="0"/>
              <w:rPr>
                <w:rFonts w:hint="eastAsia" w:ascii="仿宋" w:hAnsi="仿宋" w:eastAsia="仿宋" w:cs="仿宋"/>
                <w:b/>
                <w:sz w:val="21"/>
                <w:szCs w:val="21"/>
                <w:highlight w:val="none"/>
              </w:rPr>
            </w:pPr>
            <w:r>
              <w:rPr>
                <w:rFonts w:hint="eastAsia" w:ascii="仿宋" w:hAnsi="仿宋" w:eastAsia="仿宋" w:cs="仿宋"/>
                <w:b/>
                <w:color w:val="auto"/>
                <w:sz w:val="21"/>
                <w:szCs w:val="21"/>
                <w:highlight w:val="none"/>
                <w:lang w:eastAsia="zh-CN"/>
              </w:rPr>
              <w:t>中选人</w:t>
            </w:r>
            <w:r>
              <w:rPr>
                <w:rFonts w:hint="eastAsia" w:ascii="仿宋" w:hAnsi="仿宋" w:eastAsia="仿宋" w:cs="仿宋"/>
                <w:b/>
                <w:color w:val="auto"/>
                <w:sz w:val="21"/>
                <w:szCs w:val="21"/>
                <w:highlight w:val="none"/>
              </w:rPr>
              <w:t>数量</w:t>
            </w:r>
          </w:p>
        </w:tc>
        <w:tc>
          <w:tcPr>
            <w:tcW w:w="1031" w:type="pct"/>
            <w:noWrap w:val="0"/>
            <w:vAlign w:val="center"/>
          </w:tcPr>
          <w:p>
            <w:pPr>
              <w:pStyle w:val="7"/>
              <w:spacing w:line="240" w:lineRule="atLeast"/>
              <w:ind w:left="0"/>
              <w:jc w:val="center"/>
              <w:outlineLvl w:val="0"/>
              <w:rPr>
                <w:rFonts w:hint="default" w:ascii="仿宋" w:hAnsi="仿宋" w:eastAsia="仿宋" w:cs="仿宋"/>
                <w:b/>
                <w:sz w:val="21"/>
                <w:szCs w:val="21"/>
                <w:highlight w:val="none"/>
                <w:lang w:val="en-US" w:eastAsia="zh-CN"/>
              </w:rPr>
            </w:pPr>
            <w:r>
              <w:rPr>
                <w:rFonts w:hint="eastAsia" w:ascii="仿宋" w:hAnsi="仿宋" w:eastAsia="仿宋" w:cs="仿宋"/>
                <w:b/>
                <w:sz w:val="21"/>
                <w:szCs w:val="21"/>
                <w:highlight w:val="none"/>
                <w:lang w:val="en-US" w:eastAsia="zh-CN"/>
              </w:rPr>
              <w:t>合同有效期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89" w:type="pct"/>
            <w:noWrap w:val="0"/>
            <w:vAlign w:val="center"/>
          </w:tcPr>
          <w:p>
            <w:pPr>
              <w:pStyle w:val="7"/>
              <w:spacing w:line="240" w:lineRule="atLeast"/>
              <w:ind w:left="0"/>
              <w:jc w:val="center"/>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1413" w:type="pct"/>
            <w:noWrap w:val="0"/>
            <w:vAlign w:val="center"/>
          </w:tcPr>
          <w:p>
            <w:pPr>
              <w:pStyle w:val="7"/>
              <w:spacing w:line="240" w:lineRule="atLeast"/>
              <w:ind w:left="0"/>
              <w:jc w:val="center"/>
              <w:outlineLvl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重庆两江新区人民医院污水在线监测服务项目</w:t>
            </w:r>
          </w:p>
        </w:tc>
        <w:tc>
          <w:tcPr>
            <w:tcW w:w="1030" w:type="pct"/>
            <w:noWrap w:val="0"/>
            <w:vAlign w:val="center"/>
          </w:tcPr>
          <w:p>
            <w:pPr>
              <w:pStyle w:val="7"/>
              <w:spacing w:line="240" w:lineRule="atLeast"/>
              <w:ind w:left="0"/>
              <w:jc w:val="center"/>
              <w:outlineLvl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18.5</w:t>
            </w:r>
          </w:p>
        </w:tc>
        <w:tc>
          <w:tcPr>
            <w:tcW w:w="1034" w:type="pct"/>
            <w:noWrap w:val="0"/>
            <w:vAlign w:val="center"/>
          </w:tcPr>
          <w:p>
            <w:pPr>
              <w:pStyle w:val="5"/>
              <w:spacing w:line="240" w:lineRule="auto"/>
              <w:ind w:firstLine="0" w:firstLineChars="0"/>
              <w:jc w:val="center"/>
              <w:outlineLvl w:val="0"/>
              <w:rPr>
                <w:rFonts w:hint="eastAsia" w:ascii="仿宋" w:hAnsi="仿宋" w:eastAsia="仿宋" w:cs="仿宋"/>
                <w:sz w:val="24"/>
                <w:szCs w:val="24"/>
                <w:highlight w:val="none"/>
              </w:rPr>
            </w:pPr>
            <w:r>
              <w:rPr>
                <w:rFonts w:hint="eastAsia" w:ascii="仿宋" w:hAnsi="仿宋" w:eastAsia="仿宋" w:cs="仿宋"/>
                <w:color w:val="auto"/>
                <w:sz w:val="21"/>
                <w:szCs w:val="21"/>
                <w:highlight w:val="none"/>
                <w:lang w:val="en-US" w:eastAsia="zh-CN"/>
              </w:rPr>
              <w:t>1</w:t>
            </w:r>
          </w:p>
        </w:tc>
        <w:tc>
          <w:tcPr>
            <w:tcW w:w="1031" w:type="pct"/>
            <w:noWrap w:val="0"/>
            <w:vAlign w:val="center"/>
          </w:tcPr>
          <w:p>
            <w:pPr>
              <w:pStyle w:val="7"/>
              <w:spacing w:line="240" w:lineRule="atLeast"/>
              <w:ind w:left="0"/>
              <w:jc w:val="center"/>
              <w:outlineLvl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自签订合同之日起2年</w:t>
            </w:r>
          </w:p>
        </w:tc>
      </w:tr>
    </w:tbl>
    <w:p>
      <w:pPr>
        <w:pStyle w:val="4"/>
        <w:spacing w:line="360" w:lineRule="auto"/>
        <w:ind w:firstLine="482" w:firstLineChars="200"/>
        <w:rPr>
          <w:rFonts w:hint="eastAsia" w:ascii="仿宋" w:hAnsi="仿宋" w:eastAsia="仿宋" w:cs="仿宋"/>
          <w:highlight w:val="none"/>
        </w:rPr>
      </w:pPr>
      <w:bookmarkStart w:id="3" w:name="_Toc15246"/>
      <w:r>
        <w:rPr>
          <w:rFonts w:hint="eastAsia" w:ascii="仿宋" w:hAnsi="仿宋" w:eastAsia="仿宋" w:cs="仿宋"/>
          <w:b/>
          <w:sz w:val="24"/>
          <w:highlight w:val="none"/>
        </w:rPr>
        <w:t>二、资金来源</w:t>
      </w:r>
      <w:bookmarkEnd w:id="3"/>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自筹资金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最高限价18.5万元</w:t>
      </w:r>
      <w:r>
        <w:rPr>
          <w:rFonts w:hint="eastAsia" w:ascii="仿宋" w:hAnsi="仿宋" w:eastAsia="仿宋" w:cs="仿宋"/>
          <w:sz w:val="24"/>
          <w:szCs w:val="24"/>
          <w:highlight w:val="none"/>
        </w:rPr>
        <w:t>。</w:t>
      </w:r>
    </w:p>
    <w:p>
      <w:pPr>
        <w:pStyle w:val="4"/>
        <w:numPr>
          <w:ilvl w:val="0"/>
          <w:numId w:val="0"/>
        </w:numPr>
        <w:spacing w:line="360" w:lineRule="auto"/>
        <w:ind w:firstLine="482" w:firstLineChars="200"/>
        <w:rPr>
          <w:rFonts w:hint="eastAsia" w:ascii="仿宋" w:hAnsi="仿宋" w:eastAsia="仿宋" w:cs="仿宋"/>
          <w:b/>
          <w:sz w:val="24"/>
          <w:highlight w:val="none"/>
        </w:rPr>
      </w:pPr>
      <w:bookmarkStart w:id="4" w:name="_Toc25975"/>
      <w:r>
        <w:rPr>
          <w:rFonts w:hint="eastAsia" w:ascii="仿宋" w:hAnsi="仿宋" w:eastAsia="仿宋" w:cs="仿宋"/>
          <w:b/>
          <w:kern w:val="2"/>
          <w:sz w:val="24"/>
          <w:highlight w:val="none"/>
          <w:lang w:val="en-US" w:eastAsia="zh-CN" w:bidi="ar-SA"/>
        </w:rPr>
        <w:t>三、</w:t>
      </w:r>
      <w:r>
        <w:rPr>
          <w:rFonts w:hint="eastAsia" w:ascii="仿宋" w:hAnsi="仿宋" w:eastAsia="仿宋" w:cs="仿宋"/>
          <w:b/>
          <w:sz w:val="24"/>
          <w:highlight w:val="none"/>
          <w:lang w:eastAsia="zh-CN"/>
        </w:rPr>
        <w:t>供应商</w:t>
      </w:r>
      <w:r>
        <w:rPr>
          <w:rFonts w:hint="eastAsia" w:ascii="仿宋" w:hAnsi="仿宋" w:eastAsia="仿宋" w:cs="仿宋"/>
          <w:b/>
          <w:sz w:val="24"/>
          <w:highlight w:val="none"/>
        </w:rPr>
        <w:t>资格要求</w:t>
      </w:r>
      <w:bookmarkEnd w:id="4"/>
    </w:p>
    <w:p>
      <w:pPr>
        <w:spacing w:line="360" w:lineRule="auto"/>
        <w:ind w:firstLine="480" w:firstLineChars="200"/>
        <w:rPr>
          <w:rFonts w:hint="eastAsia" w:ascii="仿宋" w:hAnsi="仿宋" w:eastAsia="仿宋" w:cs="仿宋"/>
          <w:sz w:val="24"/>
          <w:szCs w:val="24"/>
          <w:highlight w:val="none"/>
        </w:rPr>
      </w:pPr>
      <w:bookmarkStart w:id="5" w:name="OLE_LINK4"/>
      <w:r>
        <w:rPr>
          <w:rFonts w:hint="eastAsia" w:ascii="仿宋" w:hAnsi="仿宋" w:eastAsia="仿宋" w:cs="仿宋"/>
          <w:sz w:val="24"/>
          <w:szCs w:val="24"/>
          <w:highlight w:val="none"/>
        </w:rPr>
        <w:t>（一）一般资格条件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5.参加采购活动前三年内，在经营活动中没有重大违法记录。</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特定资格条件</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b w:val="0"/>
          <w:bCs w:val="0"/>
          <w:sz w:val="24"/>
          <w:szCs w:val="24"/>
          <w:highlight w:val="none"/>
          <w:lang w:val="en-US" w:eastAsia="zh-CN"/>
        </w:rPr>
        <w:t>供应商若为分公司的，须提供总公司出具的授权书，且总公司仅能授权一家分公司参加。总公司及辖属的分公司不得同时参与投标，若同时参与的，均视为无效响应。</w:t>
      </w:r>
    </w:p>
    <w:bookmarkEnd w:id="5"/>
    <w:p>
      <w:pPr>
        <w:pStyle w:val="4"/>
        <w:numPr>
          <w:ilvl w:val="0"/>
          <w:numId w:val="0"/>
        </w:numPr>
        <w:spacing w:line="360" w:lineRule="auto"/>
        <w:ind w:firstLine="482" w:firstLineChars="200"/>
        <w:rPr>
          <w:rFonts w:hint="eastAsia" w:ascii="仿宋" w:hAnsi="仿宋" w:eastAsia="仿宋" w:cs="仿宋"/>
          <w:b/>
          <w:sz w:val="24"/>
          <w:highlight w:val="none"/>
          <w:lang w:eastAsia="zh-CN"/>
        </w:rPr>
      </w:pPr>
      <w:bookmarkStart w:id="6" w:name="_Toc23759"/>
      <w:r>
        <w:rPr>
          <w:rFonts w:hint="eastAsia" w:ascii="仿宋" w:hAnsi="仿宋" w:eastAsia="仿宋" w:cs="仿宋"/>
          <w:b/>
          <w:sz w:val="24"/>
          <w:highlight w:val="none"/>
          <w:lang w:eastAsia="zh-CN"/>
        </w:rPr>
        <w:t>四、竞标、开标有关说明</w:t>
      </w:r>
      <w:bookmarkEnd w:id="6"/>
    </w:p>
    <w:p>
      <w:pPr>
        <w:spacing w:line="360" w:lineRule="auto"/>
        <w:ind w:firstLine="240" w:firstLineChars="100"/>
        <w:rPr>
          <w:rFonts w:hint="eastAsia" w:ascii="仿宋" w:hAnsi="仿宋" w:eastAsia="仿宋" w:cs="仿宋"/>
          <w:color w:val="auto"/>
          <w:sz w:val="24"/>
          <w:szCs w:val="24"/>
          <w:highlight w:val="none"/>
        </w:rPr>
      </w:pPr>
      <w:bookmarkStart w:id="7" w:name="OLE_LINK3"/>
      <w:r>
        <w:rPr>
          <w:rFonts w:hint="eastAsia" w:ascii="仿宋" w:hAnsi="仿宋" w:eastAsia="仿宋" w:cs="仿宋"/>
          <w:color w:val="auto"/>
          <w:sz w:val="24"/>
          <w:szCs w:val="24"/>
          <w:highlight w:val="none"/>
        </w:rPr>
        <w:t>（一）报名及竞争性比选文件发售</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1.竞争性比选文件</w:t>
      </w:r>
      <w:r>
        <w:rPr>
          <w:rFonts w:hint="eastAsia" w:ascii="仿宋" w:hAnsi="仿宋" w:eastAsia="仿宋" w:cs="仿宋"/>
          <w:color w:val="auto"/>
          <w:sz w:val="24"/>
          <w:szCs w:val="24"/>
          <w:highlight w:val="none"/>
          <w:lang w:val="en-US" w:eastAsia="zh-CN"/>
        </w:rPr>
        <w:t>获取</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2月11日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2月14日</w:t>
      </w:r>
      <w:r>
        <w:rPr>
          <w:rFonts w:hint="eastAsia" w:ascii="仿宋" w:hAnsi="仿宋" w:eastAsia="仿宋" w:cs="仿宋"/>
          <w:color w:val="auto"/>
          <w:sz w:val="24"/>
          <w:szCs w:val="24"/>
          <w:highlight w:val="none"/>
        </w:rPr>
        <w:t>上午9:00-12:00，下午14:00-17:00（法定节假日除外）</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2.竞争性比选文件售价：300元/份（</w:t>
      </w:r>
      <w:r>
        <w:rPr>
          <w:rFonts w:hint="eastAsia" w:ascii="仿宋" w:hAnsi="仿宋" w:eastAsia="仿宋" w:cs="仿宋"/>
          <w:color w:val="auto"/>
          <w:sz w:val="24"/>
          <w:szCs w:val="24"/>
          <w:highlight w:val="none"/>
          <w:lang w:val="en-US" w:eastAsia="zh-CN"/>
        </w:rPr>
        <w:t>递交申请文件时</w:t>
      </w:r>
      <w:r>
        <w:rPr>
          <w:rFonts w:hint="eastAsia" w:ascii="仿宋" w:hAnsi="仿宋" w:eastAsia="仿宋" w:cs="仿宋"/>
          <w:color w:val="auto"/>
          <w:sz w:val="24"/>
          <w:szCs w:val="24"/>
          <w:highlight w:val="none"/>
        </w:rPr>
        <w:t>现金缴纳，售后不退）。</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3.竞争性比选文件发售期内，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在线上自行获取</w:t>
      </w:r>
      <w:r>
        <w:rPr>
          <w:rFonts w:hint="eastAsia" w:ascii="仿宋" w:hAnsi="仿宋" w:eastAsia="仿宋" w:cs="仿宋"/>
          <w:color w:val="auto"/>
          <w:sz w:val="24"/>
          <w:szCs w:val="24"/>
          <w:highlight w:val="none"/>
        </w:rPr>
        <w:t>竞争性比选文件。</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（二）竞标地点：重庆和定招标代理有限责任公司（重庆市北部新区金昌路7号23栋1-4号）。</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（三）竞标截止时间：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2月28日</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p>
    <w:p>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（四）开标</w:t>
      </w:r>
      <w:bookmarkStart w:id="145" w:name="_GoBack"/>
      <w:bookmarkEnd w:id="145"/>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2月28日</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（五）开标地点：同竞标地点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须满足以下</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种要件，其竞标才被接受：</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1.按规定获取了</w:t>
      </w:r>
      <w:r>
        <w:rPr>
          <w:rFonts w:hint="eastAsia" w:ascii="仿宋" w:hAnsi="仿宋" w:eastAsia="仿宋" w:cs="仿宋"/>
          <w:color w:val="auto"/>
          <w:sz w:val="24"/>
          <w:szCs w:val="24"/>
          <w:highlight w:val="none"/>
          <w:lang w:val="en-US" w:eastAsia="zh-CN"/>
        </w:rPr>
        <w:t>比选文件</w:t>
      </w:r>
      <w:r>
        <w:rPr>
          <w:rFonts w:hint="eastAsia" w:ascii="仿宋" w:hAnsi="仿宋" w:eastAsia="仿宋" w:cs="仿宋"/>
          <w:color w:val="auto"/>
          <w:sz w:val="24"/>
          <w:szCs w:val="24"/>
          <w:highlight w:val="none"/>
        </w:rPr>
        <w:t>并缴纳了</w:t>
      </w:r>
      <w:r>
        <w:rPr>
          <w:rFonts w:hint="eastAsia" w:ascii="仿宋" w:hAnsi="仿宋" w:eastAsia="仿宋" w:cs="仿宋"/>
          <w:color w:val="auto"/>
          <w:sz w:val="24"/>
          <w:szCs w:val="24"/>
          <w:highlight w:val="none"/>
          <w:lang w:val="en-US" w:eastAsia="zh-CN"/>
        </w:rPr>
        <w:t>文件领购</w:t>
      </w:r>
      <w:r>
        <w:rPr>
          <w:rFonts w:hint="eastAsia" w:ascii="仿宋" w:hAnsi="仿宋" w:eastAsia="仿宋" w:cs="仿宋"/>
          <w:color w:val="auto"/>
          <w:sz w:val="24"/>
          <w:szCs w:val="24"/>
          <w:highlight w:val="none"/>
        </w:rPr>
        <w:t>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2.按时递交了</w:t>
      </w:r>
      <w:r>
        <w:rPr>
          <w:rFonts w:hint="eastAsia" w:ascii="仿宋" w:hAnsi="仿宋" w:eastAsia="仿宋" w:cs="仿宋"/>
          <w:color w:val="auto"/>
          <w:sz w:val="24"/>
          <w:szCs w:val="24"/>
          <w:highlight w:val="none"/>
          <w:lang w:val="en-US" w:eastAsia="zh-CN"/>
        </w:rPr>
        <w:t>申请</w:t>
      </w:r>
      <w:r>
        <w:rPr>
          <w:rFonts w:hint="eastAsia" w:ascii="仿宋" w:hAnsi="仿宋" w:eastAsia="仿宋" w:cs="仿宋"/>
          <w:color w:val="auto"/>
          <w:sz w:val="24"/>
          <w:szCs w:val="24"/>
          <w:highlight w:val="none"/>
        </w:rPr>
        <w:t>文件。</w:t>
      </w:r>
    </w:p>
    <w:bookmarkEnd w:id="7"/>
    <w:p>
      <w:pPr>
        <w:pStyle w:val="4"/>
        <w:spacing w:line="500" w:lineRule="exact"/>
        <w:ind w:firstLine="482" w:firstLineChars="200"/>
        <w:rPr>
          <w:rFonts w:hint="eastAsia" w:ascii="仿宋" w:hAnsi="仿宋" w:eastAsia="仿宋" w:cs="仿宋"/>
          <w:b/>
          <w:sz w:val="24"/>
          <w:highlight w:val="none"/>
        </w:rPr>
      </w:pPr>
      <w:bookmarkStart w:id="8" w:name="_Toc23317"/>
      <w:bookmarkStart w:id="9" w:name="_Toc4843"/>
      <w:bookmarkStart w:id="10" w:name="_Toc19502"/>
      <w:bookmarkStart w:id="11" w:name="_Toc26495"/>
      <w:r>
        <w:rPr>
          <w:rFonts w:hint="eastAsia" w:ascii="仿宋" w:hAnsi="仿宋" w:eastAsia="仿宋" w:cs="仿宋"/>
          <w:b/>
          <w:sz w:val="24"/>
          <w:szCs w:val="22"/>
          <w:highlight w:val="none"/>
        </w:rPr>
        <w:t>五、</w:t>
      </w:r>
      <w:bookmarkEnd w:id="8"/>
      <w:bookmarkEnd w:id="9"/>
      <w:bookmarkEnd w:id="10"/>
      <w:bookmarkStart w:id="12" w:name="_Toc20523"/>
      <w:r>
        <w:rPr>
          <w:rFonts w:hint="eastAsia" w:ascii="仿宋" w:hAnsi="仿宋" w:eastAsia="仿宋" w:cs="仿宋"/>
          <w:b/>
          <w:sz w:val="24"/>
          <w:highlight w:val="none"/>
        </w:rPr>
        <w:t>竞标有关规定</w:t>
      </w:r>
      <w:bookmarkEnd w:id="11"/>
      <w:bookmarkEnd w:id="12"/>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，不得参加同一合同项（分包）下的竞争性比选活动。</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（二）本项目比选公告在中国招标投标公共服务平台（http://www.cebpubservice.com/）</w:t>
      </w:r>
      <w:r>
        <w:rPr>
          <w:rFonts w:hint="eastAsia" w:ascii="仿宋" w:hAnsi="仿宋" w:eastAsia="仿宋" w:cs="仿宋"/>
          <w:sz w:val="24"/>
          <w:szCs w:val="24"/>
          <w:highlight w:val="none"/>
          <w:lang w:val="en-US" w:eastAsia="zh-CN"/>
        </w:rPr>
        <w:t>以及重庆两江新区人民医院官网（https://www.ljxqrmyy.cn/index.shtml）</w:t>
      </w:r>
      <w:r>
        <w:rPr>
          <w:rFonts w:hint="eastAsia" w:ascii="仿宋" w:hAnsi="仿宋" w:eastAsia="仿宋" w:cs="仿宋"/>
          <w:sz w:val="24"/>
          <w:szCs w:val="24"/>
          <w:highlight w:val="none"/>
        </w:rPr>
        <w:t>上进行发布，若有补遗文件一律在中国招标投标公共服务平台（http://www.cebpubservice.com/）</w:t>
      </w:r>
      <w:r>
        <w:rPr>
          <w:rFonts w:hint="eastAsia" w:ascii="仿宋" w:hAnsi="仿宋" w:eastAsia="仿宋" w:cs="仿宋"/>
          <w:sz w:val="24"/>
          <w:szCs w:val="24"/>
          <w:highlight w:val="none"/>
          <w:lang w:val="en-US" w:eastAsia="zh-CN"/>
        </w:rPr>
        <w:t>以及重庆两江新区人民医院官网（https://www.ljxqrmyy.cn/index.shtml）</w:t>
      </w:r>
      <w:r>
        <w:rPr>
          <w:rFonts w:hint="eastAsia" w:ascii="仿宋" w:hAnsi="仿宋" w:eastAsia="仿宋" w:cs="仿宋"/>
          <w:sz w:val="24"/>
          <w:szCs w:val="24"/>
          <w:highlight w:val="none"/>
        </w:rPr>
        <w:t>上进行发布并以书面形式通知各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，请各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注意关注网站并查收邮件或到</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领取；无论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下载或领取与否，均视同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已知晓本项目补遗文件的内容。</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（三）超过竞标截止时间递交的竞争性比选申请文件或未按照竞争性比选文件要求密封和标记的竞争性比选申请文件，恕不接收。</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（四）竞标费用：无论竞标结果如何，</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参与本项目竞标的所有费用均应由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自行承担。</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（五）本项目不接受联合体参与竞标。</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根据竞争性比选文件的规定和竞争性比选项目的实际情况，拟在中选后将中选项目的非主体、非关键性工作分包的，应当在竞争性比选申请文件中载明分包承担主体，分包承担主体应当具备相应资质条件且不得再次分包。</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（七）竞争性比选文件的解释权归</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所有。</w:t>
      </w:r>
    </w:p>
    <w:p>
      <w:pPr>
        <w:pStyle w:val="4"/>
        <w:spacing w:line="500" w:lineRule="exact"/>
        <w:ind w:firstLine="482" w:firstLineChars="200"/>
        <w:rPr>
          <w:rFonts w:hint="eastAsia" w:ascii="仿宋" w:hAnsi="仿宋" w:eastAsia="仿宋" w:cs="仿宋"/>
          <w:b/>
          <w:sz w:val="24"/>
          <w:highlight w:val="none"/>
        </w:rPr>
      </w:pPr>
      <w:bookmarkStart w:id="13" w:name="_Toc17787"/>
      <w:r>
        <w:rPr>
          <w:rFonts w:hint="eastAsia" w:ascii="仿宋" w:hAnsi="仿宋" w:eastAsia="仿宋" w:cs="仿宋"/>
          <w:b/>
          <w:sz w:val="24"/>
          <w:highlight w:val="none"/>
          <w:lang w:val="en-US" w:eastAsia="zh-CN"/>
        </w:rPr>
        <w:t>六</w:t>
      </w:r>
      <w:r>
        <w:rPr>
          <w:rFonts w:hint="eastAsia" w:ascii="仿宋" w:hAnsi="仿宋" w:eastAsia="仿宋" w:cs="仿宋"/>
          <w:b/>
          <w:sz w:val="24"/>
          <w:highlight w:val="none"/>
        </w:rPr>
        <w:t>、联系方式</w:t>
      </w:r>
      <w:bookmarkEnd w:id="13"/>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重庆两江新区人民医院</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联系人：刘老师</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话：023-86791518</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地  址：重庆两江新区金开大道2号</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：重庆和定招标代理有限责任公司</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联系人：张女士</w:t>
      </w:r>
    </w:p>
    <w:p>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话：023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86715397</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地  址：重庆市</w:t>
      </w:r>
      <w:r>
        <w:rPr>
          <w:rFonts w:hint="eastAsia" w:ascii="仿宋" w:hAnsi="仿宋" w:eastAsia="仿宋" w:cs="仿宋"/>
          <w:color w:val="auto"/>
          <w:sz w:val="24"/>
          <w:szCs w:val="24"/>
          <w:highlight w:val="none"/>
          <w:lang w:val="en-US" w:eastAsia="zh-CN"/>
        </w:rPr>
        <w:t>北部新区</w:t>
      </w:r>
      <w:r>
        <w:rPr>
          <w:rFonts w:hint="eastAsia" w:ascii="仿宋" w:hAnsi="仿宋" w:eastAsia="仿宋" w:cs="仿宋"/>
          <w:color w:val="auto"/>
          <w:sz w:val="24"/>
          <w:szCs w:val="24"/>
          <w:highlight w:val="none"/>
        </w:rPr>
        <w:t>金昌路7号融创竣爵堡23栋4号</w:t>
      </w:r>
    </w:p>
    <w:p>
      <w:pPr>
        <w:pStyle w:val="3"/>
        <w:numPr>
          <w:ilvl w:val="0"/>
          <w:numId w:val="1"/>
        </w:numPr>
        <w:spacing w:before="0" w:beforeLines="0" w:after="0" w:afterLines="0" w:line="360" w:lineRule="auto"/>
        <w:rPr>
          <w:rFonts w:hint="eastAsia" w:ascii="仿宋" w:hAnsi="仿宋" w:eastAsia="仿宋" w:cs="仿宋"/>
          <w:b/>
          <w:highlight w:val="none"/>
        </w:rPr>
      </w:pPr>
      <w:r>
        <w:rPr>
          <w:rFonts w:hint="eastAsia" w:ascii="仿宋" w:hAnsi="仿宋" w:eastAsia="仿宋" w:cs="仿宋"/>
          <w:highlight w:val="none"/>
        </w:rPr>
        <w:br w:type="page"/>
      </w:r>
      <w:bookmarkStart w:id="14" w:name="_Toc209"/>
      <w:r>
        <w:rPr>
          <w:rFonts w:hint="eastAsia" w:ascii="仿宋" w:hAnsi="仿宋" w:eastAsia="仿宋" w:cs="仿宋"/>
          <w:b/>
          <w:highlight w:val="none"/>
        </w:rPr>
        <w:t>项目服务要求</w:t>
      </w:r>
      <w:bookmarkEnd w:id="14"/>
    </w:p>
    <w:p>
      <w:pPr>
        <w:snapToGrid w:val="0"/>
        <w:spacing w:line="360" w:lineRule="auto"/>
        <w:ind w:firstLine="482"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本篇均为实质性审查因素，如有不满足情形，将视为无效竞标。</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一、服务内容及要求</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15" w:name="_Toc108085889"/>
      <w:bookmarkStart w:id="16" w:name="_Toc10581"/>
      <w:bookmarkStart w:id="17" w:name="_Toc4723"/>
      <w:r>
        <w:rPr>
          <w:rFonts w:hint="eastAsia" w:ascii="仿宋" w:hAnsi="仿宋" w:eastAsia="仿宋" w:cs="仿宋"/>
          <w:color w:val="auto"/>
          <w:sz w:val="24"/>
          <w:szCs w:val="24"/>
          <w:highlight w:val="none"/>
          <w:lang w:val="en-US" w:eastAsia="zh-CN"/>
        </w:rPr>
        <w:t>(一)服务范围</w:t>
      </w:r>
      <w:bookmarkEnd w:id="15"/>
      <w:bookmarkEnd w:id="16"/>
      <w:bookmarkEnd w:id="17"/>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对重庆两江新区人民医院A、B院区废水在线监测设备进行运维运行，设备具体清单如下：</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A院区：</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1"/>
        <w:gridCol w:w="1246"/>
        <w:gridCol w:w="269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设备名称</w:t>
            </w:r>
          </w:p>
        </w:tc>
        <w:tc>
          <w:tcPr>
            <w:tcW w:w="647"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台数</w:t>
            </w:r>
          </w:p>
        </w:tc>
        <w:tc>
          <w:tcPr>
            <w:tcW w:w="1399"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设备生产厂家</w:t>
            </w:r>
          </w:p>
        </w:tc>
        <w:tc>
          <w:tcPr>
            <w:tcW w:w="1248"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COD</w:t>
            </w:r>
          </w:p>
        </w:tc>
        <w:tc>
          <w:tcPr>
            <w:tcW w:w="647"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浙江泽天</w:t>
            </w:r>
          </w:p>
        </w:tc>
        <w:tc>
          <w:tcPr>
            <w:tcW w:w="1248"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氨氮</w:t>
            </w:r>
          </w:p>
        </w:tc>
        <w:tc>
          <w:tcPr>
            <w:tcW w:w="647"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浙江泽天</w:t>
            </w:r>
          </w:p>
        </w:tc>
        <w:tc>
          <w:tcPr>
            <w:tcW w:w="1248"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PH计</w:t>
            </w:r>
          </w:p>
        </w:tc>
        <w:tc>
          <w:tcPr>
            <w:tcW w:w="647"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广州良森</w:t>
            </w:r>
          </w:p>
        </w:tc>
        <w:tc>
          <w:tcPr>
            <w:tcW w:w="1248"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流量计</w:t>
            </w:r>
          </w:p>
        </w:tc>
        <w:tc>
          <w:tcPr>
            <w:tcW w:w="647"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广州良森</w:t>
            </w:r>
          </w:p>
        </w:tc>
        <w:tc>
          <w:tcPr>
            <w:tcW w:w="1248"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SS</w:t>
            </w:r>
          </w:p>
        </w:tc>
        <w:tc>
          <w:tcPr>
            <w:tcW w:w="647"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广州良森</w:t>
            </w:r>
          </w:p>
        </w:tc>
        <w:tc>
          <w:tcPr>
            <w:tcW w:w="1248"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数据采集仪</w:t>
            </w:r>
          </w:p>
        </w:tc>
        <w:tc>
          <w:tcPr>
            <w:tcW w:w="647"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广州博控</w:t>
            </w:r>
          </w:p>
        </w:tc>
        <w:tc>
          <w:tcPr>
            <w:tcW w:w="1248"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olor w:val="auto"/>
                <w:kern w:val="0"/>
                <w:sz w:val="24"/>
                <w:szCs w:val="24"/>
                <w:highlight w:val="none"/>
              </w:rPr>
              <w:t>智能水样采样器</w:t>
            </w:r>
          </w:p>
        </w:tc>
        <w:tc>
          <w:tcPr>
            <w:tcW w:w="647"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浙江恒达</w:t>
            </w:r>
          </w:p>
        </w:tc>
        <w:tc>
          <w:tcPr>
            <w:tcW w:w="1248"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4"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余氯分析仪</w:t>
            </w:r>
          </w:p>
        </w:tc>
        <w:tc>
          <w:tcPr>
            <w:tcW w:w="647"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399"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广州良森</w:t>
            </w:r>
          </w:p>
        </w:tc>
        <w:tc>
          <w:tcPr>
            <w:tcW w:w="1248"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污水处理站</w:t>
            </w:r>
          </w:p>
        </w:tc>
      </w:tr>
    </w:tbl>
    <w:p>
      <w:pPr>
        <w:pStyle w:val="20"/>
        <w:keepNext/>
        <w:keepLines/>
        <w:numPr>
          <w:ilvl w:val="0"/>
          <w:numId w:val="0"/>
        </w:numPr>
        <w:spacing w:line="240" w:lineRule="auto"/>
        <w:ind w:leftChars="0"/>
        <w:outlineLvl w:val="2"/>
        <w:rPr>
          <w:rFonts w:hint="eastAsia" w:ascii="仿宋" w:hAnsi="仿宋" w:eastAsia="仿宋" w:cs="Times New Roman"/>
          <w:bCs/>
          <w:color w:val="auto"/>
          <w:sz w:val="24"/>
          <w:szCs w:val="24"/>
          <w:highlight w:val="none"/>
          <w:lang w:val="en-US" w:eastAsia="zh-CN"/>
        </w:rPr>
      </w:pPr>
      <w:r>
        <w:rPr>
          <w:rFonts w:hint="eastAsia" w:ascii="仿宋" w:hAnsi="仿宋" w:eastAsia="仿宋" w:cs="Times New Roman"/>
          <w:bCs/>
          <w:color w:val="auto"/>
          <w:sz w:val="24"/>
          <w:szCs w:val="24"/>
          <w:highlight w:val="none"/>
          <w:lang w:val="en-US" w:eastAsia="zh-CN"/>
        </w:rPr>
        <w:t>B院区：</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8"/>
        <w:gridCol w:w="982"/>
        <w:gridCol w:w="2124"/>
        <w:gridCol w:w="189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设备名称</w:t>
            </w:r>
          </w:p>
        </w:tc>
        <w:tc>
          <w:tcPr>
            <w:tcW w:w="510"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台数</w:t>
            </w:r>
          </w:p>
        </w:tc>
        <w:tc>
          <w:tcPr>
            <w:tcW w:w="1103"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设备生产厂家</w:t>
            </w:r>
          </w:p>
        </w:tc>
        <w:tc>
          <w:tcPr>
            <w:tcW w:w="984"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安装位置</w:t>
            </w:r>
          </w:p>
        </w:tc>
        <w:tc>
          <w:tcPr>
            <w:tcW w:w="1057" w:type="pct"/>
            <w:noWrap w:val="0"/>
            <w:vAlign w:val="top"/>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COD</w:t>
            </w:r>
          </w:p>
        </w:tc>
        <w:tc>
          <w:tcPr>
            <w:tcW w:w="510"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103"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重庆耐德</w:t>
            </w:r>
          </w:p>
        </w:tc>
        <w:tc>
          <w:tcPr>
            <w:tcW w:w="98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污水处理站</w:t>
            </w:r>
          </w:p>
        </w:tc>
        <w:tc>
          <w:tcPr>
            <w:tcW w:w="1057"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氨氮</w:t>
            </w:r>
          </w:p>
        </w:tc>
        <w:tc>
          <w:tcPr>
            <w:tcW w:w="510"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103"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重庆耐德</w:t>
            </w:r>
          </w:p>
        </w:tc>
        <w:tc>
          <w:tcPr>
            <w:tcW w:w="984"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c>
          <w:tcPr>
            <w:tcW w:w="1057"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PH计</w:t>
            </w:r>
          </w:p>
        </w:tc>
        <w:tc>
          <w:tcPr>
            <w:tcW w:w="510"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103"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ascii="仿宋" w:hAnsi="仿宋" w:eastAsia="仿宋" w:cs="Times New Roman"/>
                <w:color w:val="auto"/>
                <w:kern w:val="0"/>
                <w:sz w:val="24"/>
                <w:szCs w:val="24"/>
                <w:highlight w:val="none"/>
              </w:rPr>
              <w:t>成都淳业</w:t>
            </w:r>
          </w:p>
        </w:tc>
        <w:tc>
          <w:tcPr>
            <w:tcW w:w="984"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c>
          <w:tcPr>
            <w:tcW w:w="1057"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流量计</w:t>
            </w:r>
          </w:p>
        </w:tc>
        <w:tc>
          <w:tcPr>
            <w:tcW w:w="510"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103"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九波</w:t>
            </w:r>
          </w:p>
        </w:tc>
        <w:tc>
          <w:tcPr>
            <w:tcW w:w="984"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c>
          <w:tcPr>
            <w:tcW w:w="1057"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数据采集仪</w:t>
            </w:r>
          </w:p>
        </w:tc>
        <w:tc>
          <w:tcPr>
            <w:tcW w:w="510"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103"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博控</w:t>
            </w:r>
          </w:p>
        </w:tc>
        <w:tc>
          <w:tcPr>
            <w:tcW w:w="984"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r>
              <w:rPr>
                <w:rStyle w:val="19"/>
                <w:rFonts w:hint="eastAsia" w:ascii="仿宋" w:hAnsi="仿宋" w:eastAsia="仿宋" w:cs="Times New Roman"/>
                <w:color w:val="auto"/>
                <w:kern w:val="0"/>
                <w:sz w:val="24"/>
                <w:szCs w:val="24"/>
                <w:highlight w:val="none"/>
                <w:lang w:val="en-US" w:eastAsia="zh-CN"/>
              </w:rPr>
              <w:t>污水处理站</w:t>
            </w:r>
          </w:p>
        </w:tc>
        <w:tc>
          <w:tcPr>
            <w:tcW w:w="1057"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4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olor w:val="auto"/>
                <w:kern w:val="0"/>
                <w:sz w:val="24"/>
                <w:szCs w:val="24"/>
                <w:highlight w:val="none"/>
              </w:rPr>
              <w:t>智能水样采样器</w:t>
            </w:r>
          </w:p>
        </w:tc>
        <w:tc>
          <w:tcPr>
            <w:tcW w:w="510" w:type="pct"/>
            <w:noWrap w:val="0"/>
            <w:vAlign w:val="center"/>
          </w:tcPr>
          <w:p>
            <w:pPr>
              <w:widowControl/>
              <w:jc w:val="center"/>
              <w:textAlignment w:val="baseline"/>
              <w:rPr>
                <w:rStyle w:val="19"/>
                <w:rFonts w:hint="default"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1</w:t>
            </w:r>
          </w:p>
        </w:tc>
        <w:tc>
          <w:tcPr>
            <w:tcW w:w="1103"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浙江恒达</w:t>
            </w:r>
          </w:p>
        </w:tc>
        <w:tc>
          <w:tcPr>
            <w:tcW w:w="984" w:type="pct"/>
            <w:noWrap w:val="0"/>
            <w:vAlign w:val="center"/>
          </w:tcPr>
          <w:p>
            <w:pPr>
              <w:widowControl/>
              <w:jc w:val="center"/>
              <w:textAlignment w:val="baseline"/>
              <w:rPr>
                <w:rStyle w:val="19"/>
                <w:rFonts w:hint="eastAsia" w:ascii="仿宋" w:hAnsi="仿宋" w:eastAsia="仿宋" w:cs="Times New Roman"/>
                <w:color w:val="auto"/>
                <w:kern w:val="0"/>
                <w:sz w:val="24"/>
                <w:szCs w:val="24"/>
                <w:highlight w:val="none"/>
                <w:lang w:val="en-US" w:eastAsia="zh-CN"/>
              </w:rPr>
            </w:pPr>
            <w:r>
              <w:rPr>
                <w:rStyle w:val="19"/>
                <w:rFonts w:hint="eastAsia" w:ascii="仿宋" w:hAnsi="仿宋" w:eastAsia="仿宋" w:cs="Times New Roman"/>
                <w:color w:val="auto"/>
                <w:kern w:val="0"/>
                <w:sz w:val="24"/>
                <w:szCs w:val="24"/>
                <w:highlight w:val="none"/>
                <w:lang w:val="en-US" w:eastAsia="zh-CN"/>
              </w:rPr>
              <w:t>污水处理站</w:t>
            </w:r>
          </w:p>
        </w:tc>
        <w:tc>
          <w:tcPr>
            <w:tcW w:w="1057" w:type="pct"/>
            <w:noWrap w:val="0"/>
            <w:vAlign w:val="center"/>
          </w:tcPr>
          <w:p>
            <w:pPr>
              <w:widowControl/>
              <w:jc w:val="center"/>
              <w:textAlignment w:val="baseline"/>
              <w:rPr>
                <w:rStyle w:val="19"/>
                <w:rFonts w:ascii="仿宋" w:hAnsi="仿宋" w:eastAsia="仿宋" w:cs="Times New Roman"/>
                <w:color w:val="auto"/>
                <w:kern w:val="0"/>
                <w:sz w:val="24"/>
                <w:szCs w:val="24"/>
                <w:highlight w:val="none"/>
              </w:rPr>
            </w:pPr>
          </w:p>
        </w:tc>
      </w:tr>
    </w:tbl>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(二)服务要求</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18" w:name="_Toc20926"/>
      <w:bookmarkStart w:id="19" w:name="_Toc31228"/>
      <w:r>
        <w:rPr>
          <w:rFonts w:hint="eastAsia" w:ascii="仿宋" w:hAnsi="仿宋" w:eastAsia="仿宋" w:cs="仿宋"/>
          <w:color w:val="auto"/>
          <w:sz w:val="24"/>
          <w:szCs w:val="24"/>
          <w:highlight w:val="none"/>
          <w:lang w:val="en-US" w:eastAsia="zh-CN"/>
        </w:rPr>
        <w:t>1.应根据本约定向采购人提供项目维护服务，建立项目运营管理模式、组织结构、工作流程；建立健全项目的各项管理标准、技术标准，保证项目运营管理的体系化、规范化、标准化。具体工作内容如下：</w:t>
      </w:r>
      <w:bookmarkEnd w:id="18"/>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 应严格遵守行业、国家有关规定，按照采购人要求完成本合同约定的各项工作，确保项目安全、稳定、经济运行。</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 负责与项目运行、维修、维护所需的全部工作，包括项目设备的管理、维修、维护、运行、预防性试验、定期校验等。</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bookmarkStart w:id="20" w:name="_Toc8876"/>
      <w:r>
        <w:rPr>
          <w:rFonts w:hint="eastAsia" w:ascii="仿宋" w:hAnsi="仿宋" w:eastAsia="仿宋" w:cs="仿宋"/>
          <w:color w:val="auto"/>
          <w:sz w:val="24"/>
          <w:szCs w:val="24"/>
          <w:highlight w:val="none"/>
          <w:lang w:val="en-US" w:eastAsia="zh-CN"/>
        </w:rPr>
        <w:t>1.3 进行项目的日常巡检、辅助操作、记录、值班等工作，确保项目设备的安全经济运行。</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 负责项目的日常维护、保养、消缺、抢修、</w:t>
      </w:r>
      <w:bookmarkStart w:id="21" w:name="_Toc20292"/>
      <w:r>
        <w:rPr>
          <w:rFonts w:hint="eastAsia" w:ascii="仿宋" w:hAnsi="仿宋" w:eastAsia="仿宋" w:cs="仿宋"/>
          <w:color w:val="auto"/>
          <w:sz w:val="24"/>
          <w:szCs w:val="24"/>
          <w:highlight w:val="none"/>
          <w:lang w:val="en-US" w:eastAsia="zh-CN"/>
        </w:rPr>
        <w:t>故障调查、非计划性检修工作等各项活动的组织工作</w:t>
      </w:r>
      <w:bookmarkEnd w:id="21"/>
      <w:r>
        <w:rPr>
          <w:rFonts w:hint="eastAsia" w:ascii="仿宋" w:hAnsi="仿宋" w:eastAsia="仿宋" w:cs="仿宋"/>
          <w:color w:val="auto"/>
          <w:sz w:val="24"/>
          <w:szCs w:val="24"/>
          <w:highlight w:val="none"/>
          <w:lang w:val="en-US" w:eastAsia="zh-CN"/>
        </w:rPr>
        <w:t>，制定和履行项目维护所需的规章制度及实施细则。</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 负责项目维护所需的原材料、备品备件、消耗性材料、废液处理，仪器维修及保养所需备品耗品，2000元及其以下配件费（以采购人核定为准），由中选人承担；2000元以上的更换配件费用由采购人承担。第三方季度比对由甲方负责，中选人配合。</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 负责项目维护操作所需要的仪器设备、仪表、工器具的保管和维护（指中选人自配仪器仪表）。</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 完成并按时提供项目维护操作的各种报告、台帐、操作记录等原始记录文件，根据采购人要求管理相关的图纸、资料、档案等文件，负责项目现场场地及相关设备的清洁卫生。</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 负责项目范围内设备的各项定期试验工作（由采购人负责进行的除外）。负责根据规程需接受检查的所有设备的登记，包括记录所有测试日期和结果。</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 确保项目设备的完整性、安全性及健康性，避免对设备造成损害（正常磨损、老化及不可抗力造成的除外），保证项目范围内的设备达到健康的设备状态。</w:t>
      </w:r>
      <w:bookmarkEnd w:id="19"/>
      <w:bookmarkEnd w:id="20"/>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1.10根据采购人或上级部门规定规范暂存废液，包装器皿合规，标识正确清晰，密闭良好，分区分类放置，及时清理及转运，废液需交有资质的公司进行收运，不得随意处置。</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2.运维与日常维护</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 检查仪器运行状态,检查数据传输系统是否正常，如发现数据有持续异常情况，应立即前往站点进行检查。</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 每周自动进行氨氮、化学需氧量（CODCr）水质在线自动监测仪的零点和量程校正。</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 每周至少1次对监测系统进行现场维护，现场维护内容包括：</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2.3.1 检查各台自动分析仪及辅助设备的运行状态和主要技术参数，判断运行是否正常。</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2.3.2 检查自来水供应、泵取水情况，检查内部管路是否通畅，仪器自动清洗装置是否运行正常，检查各自动分析仪的进样水管和排水管是否清洁，必要时进行清洗。定期清洗水泵和过滤网。</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2.3.3 检查站房内电路系统、通讯系统是否正常。</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2.3.4 对于用电极法测量的仪器，检查标准溶液和电极填充液，进行电极探头的清洗.</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2.3.5 检查各仪器标准溶液和试剂是否在有效使用期内，按相关要求定期更换标准溶液和分析试剂。</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2.3.6 观察数据采集传输仪运行情况，并检查连接处有无损坏,对数据进行抽样检查，对比自动分析仪、数据采集传输仪及上位机接收到的数据是否一致。</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 每月现场维护内容包括：</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2.4.1 化学需氧量水质在线自动监测仪：检查内部试管是否污染，必要时进行清洗。</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2.4.2 流量计：检查超声波流量计高度是否发生变化。</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2.4.3 氨氮水质自动分析仪：气敏电极表面是否清洁，仪器管路进行保养、清洁。</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2.4.4 每月的现场维护内容还包括对在线监测仪器进行一次保养，对水泵和取水管路、配水和进水系统、仪器分析系统进行维护。对数据存储／控制系统工作状态进行一次检查，对自动分析仪进行一次日常校验。检查监测仪器接地情况，检查监测用房防雷措施。</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 每3个月检查化学需氧量（CODCr）在线自动监测仪水样导管、排水导管、活塞和密封圈，必要时进行更换，检查氨氮水质自动分析仪气敏电极膜，必要时进行更换。</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 根据实际情况更换化学需氧量（CODCr）水质在线自动监测仪水样导管、排水导管、活塞和密封圈。</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 其他预防性维护</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2.7.1 保持机房、实验室、监测用房（监控箱）的清洁，保持设备的清洁，避免仪器振动，保证监测用房内的温度、湿度满足仪器正常运行的需求。</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2.7.2 保持各仪器管路通畅，出水正常，无漏液。</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2.7.3 对电源控制器、空调等辅助设备要进行经常性检查。</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2.7.4 此处未提及的维护内容，按相关仪器说明书的要求进行仪器维护保养、易耗品的定期更换工作。</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 操作人员在对系统进行日常维护时，应作好巡检记录，巡检记录应包含该系统运行状况、系统辅助设备运行状况、系统校准工作等必检项目和记录，以及仪器使用说明书中规定的其他检查项目和校准、维护保养、维修记录。</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 定期校验：每月至少进行一次实际水样比对试验和质控样试验，进行一次现场校验，自动校准或手工校准。实际水样比对试验、质控样试验方法。实际水样比对试验结果应满足规定的性能指标要求，质控样测定的相对误差不大于标准值的±10%，实际水样比对试验或校验的结果不满足规定的性能指标要求时，应立即重新进行第2次比对试验或校验，连续三次结果不符合要求，应采用备用仪器或手工方法监测。备用仪器在正常使用和运行之前应对仪器进行校验和比对试验。</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 设备维修更换：</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2.10.1 依据现场使用环境条件制订易耗品和消耗品的更换周期，做到定期更换；对使用期限有规定的备品备件，严格按使用规定期限予以更换。</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2.10.2 所有检查项目、故障维修，采用一事一记，每月汇总成运营报告，报采购人相关部门，并形成电子档备案。</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2.10.3 对于现场端设备使用超过年限，经原厂厂家检修确定无法修复的整机仪器，第一时间向环保部门报告，并根据实际情况响应解决办法。</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2.10.4 对于更换下来的故障仪器，现场人员、我司不得私自报废和处理，需统一上报领导后再做处理。</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2.10.5 设备更换后需形成完整的更换处理报告，报告内容含故障原因分析、原厂厂家检测报告、更换仪器检测报告、运行报告等。</w:t>
      </w:r>
    </w:p>
    <w:p>
      <w:pPr>
        <w:snapToGrid w:val="0"/>
        <w:spacing w:line="360" w:lineRule="auto"/>
        <w:ind w:firstLine="480" w:firstLineChars="200"/>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2.10.6 在线监测设备需要停用、拆除或者更换的，经环保管理部门批准。</w:t>
      </w:r>
    </w:p>
    <w:p>
      <w:pPr>
        <w:snapToGrid w:val="0"/>
        <w:spacing w:line="360" w:lineRule="auto"/>
        <w:ind w:firstLine="480" w:firstLineChars="200"/>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2.10.7 运维人员发现故障或接到故障通知，接到故障通知2小时内赶到现场处理。</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2.10.8对于一些容易诊断的故障，可携带工具或者备件到现场进行针对性维修，此类故障维修时间不应超过12小时。</w:t>
      </w:r>
    </w:p>
    <w:p>
      <w:pPr>
        <w:snapToGrid w:val="0"/>
        <w:spacing w:line="360" w:lineRule="auto"/>
        <w:ind w:firstLine="480" w:firstLineChars="200"/>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2.10.9 仪器经过维修后，在正常使用和运行之前应确保维修内容全部完成，性能通过检测程序，按国家有关技术规定对仪器进行校准检查。若监测仪器进行了更换，在正常使用和运行之前应对仪器进行一次校验。</w:t>
      </w:r>
    </w:p>
    <w:p>
      <w:pPr>
        <w:snapToGrid w:val="0"/>
        <w:spacing w:line="360" w:lineRule="auto"/>
        <w:ind w:firstLine="480" w:firstLineChars="200"/>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2.10.10 在线监测设备因故障不能正常采集、传输数据时，应及时向企业和环境保护有关部门报告，必要时采用人工方法进行监测，按相关规范要求执行。</w:t>
      </w:r>
    </w:p>
    <w:p>
      <w:pPr>
        <w:snapToGrid w:val="0"/>
        <w:spacing w:line="360" w:lineRule="auto"/>
        <w:ind w:firstLine="480" w:firstLineChars="200"/>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2.10.11 投标人需备有足够的备品备件及备用仪器，对其使用情况进行定期清点，并根据实际需要进行增购，以不断调整和补充各种备品备件及备用仪器的存储数量。</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2.10.12 若数据存储/控制仪发生故障，在12小时内修复或更换，并确保已采集的数据不丢失。</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3.运行维护目标：</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3.1确保污染源在线监测及监控系统的正常运行，确保在线监测数据月传输有效率达到98%以上</w:t>
      </w:r>
      <w:r>
        <w:rPr>
          <w:rFonts w:hint="eastAsia" w:ascii="仿宋" w:hAnsi="仿宋" w:eastAsia="仿宋" w:cs="仿宋"/>
          <w:b/>
          <w:bCs/>
          <w:color w:val="auto"/>
          <w:sz w:val="24"/>
          <w:szCs w:val="24"/>
          <w:highlight w:val="none"/>
          <w:lang w:val="en-US" w:eastAsia="zh-CN"/>
        </w:rPr>
        <w:t>（如因设备故障导致传输有效率未达到98%，每降低1%扣款200元，90%以下，每降低1%扣款500元，不可抗因素除外）</w:t>
      </w:r>
      <w:r>
        <w:rPr>
          <w:rFonts w:hint="eastAsia" w:ascii="仿宋" w:hAnsi="仿宋" w:eastAsia="仿宋" w:cs="仿宋"/>
          <w:color w:val="auto"/>
          <w:sz w:val="24"/>
          <w:szCs w:val="24"/>
          <w:highlight w:val="none"/>
          <w:lang w:val="en-US" w:eastAsia="zh-CN"/>
        </w:rPr>
        <w:t>，通过环保比对监测，满足环保管理要求。</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做到至少每周进行一次巡检，操作人员在对系统进行日常维护时，应作好巡检记录，巡检记录应包含该系统运行状况、系统辅助设备运行状况、系统校准工作等必检项目和记录，以及仪器使用说明书中规定的其他检查项目和校准、维护保养、维修记录。</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 做好仪器日常巡检、常规项目巡检现场记录，每次现场巡检后均应更新现场记录，并整理存储为电子档案，以便随时查阅。</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 检修前须做好仪器各项监测参数的数据及信号记录。</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 严格按照在线监测设备的操作规范进行操作维护，仪器进行标定前后应做好时间、数据的记录，每次检修过程中做好采样、分析管路的清理、气密性检查工作，做好每周质控样考核记录，每月实际水样比对记录，现场联存放现场，并进行电子档案存档，每次巡检必须严格检查仪器监测数据上传通讯情况，使监测数据能准确稳定上传，整个设备维护过程发布详细记录维护起始和结束时间、维护内容、维护结果，记录好后交由甲方承办人员签字，每次巡检维护后，技术人员须与甲方承办人员进行沟通交流，必要时向甲方承办部门负责人汇报设备运行情况。</w:t>
      </w:r>
    </w:p>
    <w:p>
      <w:pPr>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3.6 </w:t>
      </w:r>
      <w:r>
        <w:rPr>
          <w:rFonts w:hint="eastAsia" w:ascii="仿宋" w:hAnsi="仿宋" w:eastAsia="仿宋" w:cs="仿宋"/>
          <w:b/>
          <w:bCs/>
          <w:color w:val="auto"/>
          <w:sz w:val="24"/>
          <w:szCs w:val="24"/>
          <w:highlight w:val="none"/>
          <w:lang w:val="en-US" w:eastAsia="zh-CN"/>
        </w:rPr>
        <w:t>满足国家及地方环保部门对环保在线监测设备的规定，一般故障排除时间不超过8小时，对不易诊断和维修的仪器故障，要求故障排除时间不超过24小时，若超出扣除违约金500元/次，所造成的损失由乙方全权负责;</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 建立每台在线监测设备档案，包括：在线监测设备日常巡检维护记录、设备零漂、跨漂校准记录、设备校验记录、设备维修记录和易耗品及标准物质更换记录等；</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 根据实际需要制定合理的备品备件采购计划，常年备有常用耗材、备用分析单元、备品备件等，并保持适当的库存，以保证仪器故障时有足够的备品备件进行更换。</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 配合环保相关检查。</w:t>
      </w:r>
    </w:p>
    <w:p>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4.运维目标保证</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 操作人员按国家相关规定，经培训考核合格，持证上岗。</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 确保在线监测仪器在有效使用期内通过检定或校验。各类仪器在运行过程开启定期自动标定或人工标定功能，以保证在线监测系统监测结果的可靠性和准确性：</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 按《水污染源在线监测系统（CODCr、NH3-N 等）运行技术规范》（ HJ355-2019）规范做好相应运维记录台账。</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 该项目所有设备使用的标准物质溶液，全部使用有对应的标准物质证书，并存档备查。</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 安排专人对设备故障数据异常时上报环保主管部门，上报时间不超过24小时，并协助企业在重庆市污染源管理平台标记。</w:t>
      </w:r>
    </w:p>
    <w:p>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 所有设备试剂按时更换，更换时标记好配制时间、更换时间、有效期并做好试剂管理台账。</w:t>
      </w:r>
    </w:p>
    <w:p>
      <w:pPr>
        <w:snapToGrid w:val="0"/>
        <w:spacing w:line="360" w:lineRule="auto"/>
        <w:ind w:firstLine="480" w:firstLineChars="200"/>
        <w:rPr>
          <w:rFonts w:hint="eastAsia" w:ascii="仿宋" w:hAnsi="仿宋" w:eastAsia="仿宋" w:cs="仿宋"/>
          <w:color w:val="auto"/>
          <w:sz w:val="24"/>
          <w:szCs w:val="24"/>
          <w:highlight w:val="none"/>
          <w:lang w:val="en-US" w:eastAsia="zh-CN"/>
        </w:rPr>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pPr>
    </w:p>
    <w:p>
      <w:pPr>
        <w:pStyle w:val="3"/>
        <w:spacing w:before="0" w:beforeLines="0" w:after="0" w:afterLines="0" w:line="360" w:lineRule="auto"/>
        <w:rPr>
          <w:rFonts w:hint="eastAsia" w:ascii="仿宋" w:hAnsi="仿宋" w:eastAsia="仿宋" w:cs="仿宋"/>
          <w:highlight w:val="none"/>
        </w:rPr>
      </w:pPr>
      <w:bookmarkStart w:id="22" w:name="_Toc8356"/>
      <w:r>
        <w:rPr>
          <w:rFonts w:hint="eastAsia" w:ascii="仿宋" w:hAnsi="仿宋" w:eastAsia="仿宋" w:cs="仿宋"/>
          <w:b/>
          <w:highlight w:val="none"/>
        </w:rPr>
        <w:t>第三篇  项目商务要求</w:t>
      </w:r>
      <w:bookmarkEnd w:id="22"/>
    </w:p>
    <w:p>
      <w:pPr>
        <w:snapToGrid w:val="0"/>
        <w:spacing w:line="400" w:lineRule="exact"/>
        <w:ind w:firstLine="482" w:firstLineChars="200"/>
        <w:rPr>
          <w:rFonts w:hint="eastAsia" w:ascii="仿宋" w:hAnsi="仿宋" w:eastAsia="仿宋" w:cs="仿宋"/>
          <w:b/>
          <w:bCs/>
          <w:sz w:val="24"/>
          <w:szCs w:val="28"/>
          <w:highlight w:val="none"/>
        </w:rPr>
      </w:pPr>
      <w:r>
        <w:rPr>
          <w:rFonts w:hint="eastAsia" w:ascii="仿宋" w:hAnsi="仿宋" w:eastAsia="仿宋" w:cs="仿宋"/>
          <w:b/>
          <w:bCs/>
          <w:sz w:val="24"/>
          <w:szCs w:val="28"/>
          <w:highlight w:val="none"/>
        </w:rPr>
        <w:t>一、服务</w:t>
      </w:r>
      <w:r>
        <w:rPr>
          <w:rFonts w:hint="eastAsia" w:ascii="仿宋" w:hAnsi="仿宋" w:eastAsia="仿宋" w:cs="仿宋"/>
          <w:b/>
          <w:bCs/>
          <w:sz w:val="24"/>
          <w:szCs w:val="28"/>
          <w:highlight w:val="none"/>
          <w:lang w:val="en-US" w:eastAsia="zh-CN"/>
        </w:rPr>
        <w:t>期限</w:t>
      </w:r>
      <w:r>
        <w:rPr>
          <w:rFonts w:hint="eastAsia" w:ascii="仿宋" w:hAnsi="仿宋" w:eastAsia="仿宋" w:cs="仿宋"/>
          <w:b/>
          <w:bCs/>
          <w:sz w:val="24"/>
          <w:szCs w:val="28"/>
          <w:highlight w:val="none"/>
        </w:rPr>
        <w:t>、地点</w:t>
      </w:r>
    </w:p>
    <w:p>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（一）</w:t>
      </w:r>
      <w:r>
        <w:rPr>
          <w:rFonts w:hint="eastAsia" w:ascii="仿宋" w:hAnsi="仿宋" w:eastAsia="仿宋" w:cs="仿宋"/>
          <w:sz w:val="24"/>
          <w:szCs w:val="28"/>
          <w:highlight w:val="none"/>
          <w:lang w:val="en-US" w:eastAsia="zh-CN"/>
        </w:rPr>
        <w:t>服务期限为</w:t>
      </w:r>
      <w:r>
        <w:rPr>
          <w:rFonts w:hint="eastAsia" w:ascii="方正仿宋_GBK" w:hAnsi="方正仿宋_GBK" w:eastAsia="方正仿宋_GBK" w:cs="方正仿宋_GBK"/>
          <w:color w:val="auto"/>
          <w:sz w:val="24"/>
          <w:szCs w:val="24"/>
          <w:highlight w:val="none"/>
        </w:rPr>
        <w:t>合同签订之日起</w:t>
      </w:r>
      <w:r>
        <w:rPr>
          <w:rFonts w:hint="eastAsia" w:ascii="方正仿宋_GBK" w:hAnsi="方正仿宋_GBK" w:eastAsia="方正仿宋_GBK" w:cs="方正仿宋_GBK"/>
          <w:color w:val="auto"/>
          <w:sz w:val="24"/>
          <w:szCs w:val="24"/>
          <w:highlight w:val="none"/>
          <w:lang w:val="en-US" w:eastAsia="zh-CN"/>
        </w:rPr>
        <w:t>2年</w:t>
      </w:r>
      <w:r>
        <w:rPr>
          <w:rFonts w:hint="eastAsia" w:ascii="仿宋" w:hAnsi="仿宋" w:eastAsia="仿宋" w:cs="仿宋"/>
          <w:sz w:val="24"/>
          <w:szCs w:val="28"/>
          <w:highlight w:val="none"/>
        </w:rPr>
        <w:t>。</w:t>
      </w:r>
    </w:p>
    <w:p>
      <w:pPr>
        <w:numPr>
          <w:ilvl w:val="0"/>
          <w:numId w:val="0"/>
        </w:numPr>
        <w:snapToGrid w:val="0"/>
        <w:spacing w:line="400" w:lineRule="exact"/>
        <w:ind w:firstLine="480" w:firstLineChars="200"/>
        <w:rPr>
          <w:rFonts w:hint="eastAsia" w:ascii="仿宋" w:hAnsi="仿宋" w:eastAsia="仿宋" w:cs="仿宋"/>
          <w:b w:val="0"/>
          <w:bCs w:val="0"/>
          <w:sz w:val="24"/>
          <w:szCs w:val="28"/>
          <w:highlight w:val="none"/>
        </w:rPr>
      </w:pPr>
      <w:r>
        <w:rPr>
          <w:rFonts w:hint="eastAsia" w:ascii="仿宋" w:hAnsi="仿宋" w:eastAsia="仿宋" w:cs="仿宋"/>
          <w:sz w:val="24"/>
          <w:szCs w:val="28"/>
          <w:highlight w:val="none"/>
        </w:rPr>
        <w:t>（二）服务地点：重庆两江新区人民医院</w:t>
      </w:r>
      <w:r>
        <w:rPr>
          <w:rFonts w:hint="eastAsia" w:ascii="仿宋" w:hAnsi="仿宋" w:eastAsia="仿宋" w:cs="仿宋"/>
          <w:sz w:val="24"/>
          <w:szCs w:val="28"/>
          <w:highlight w:val="none"/>
          <w:lang w:val="en-US" w:eastAsia="zh-CN"/>
        </w:rPr>
        <w:t>指定地点</w:t>
      </w:r>
      <w:r>
        <w:rPr>
          <w:rFonts w:hint="eastAsia" w:ascii="仿宋" w:hAnsi="仿宋" w:eastAsia="仿宋" w:cs="仿宋"/>
          <w:sz w:val="24"/>
          <w:szCs w:val="28"/>
          <w:highlight w:val="none"/>
        </w:rPr>
        <w:t>。</w:t>
      </w:r>
    </w:p>
    <w:p>
      <w:pPr>
        <w:numPr>
          <w:ilvl w:val="0"/>
          <w:numId w:val="0"/>
        </w:numPr>
        <w:snapToGrid w:val="0"/>
        <w:spacing w:line="400" w:lineRule="exact"/>
        <w:rPr>
          <w:rFonts w:hint="eastAsia" w:ascii="仿宋" w:hAnsi="仿宋" w:eastAsia="仿宋" w:cs="仿宋"/>
          <w:b/>
          <w:bCs/>
          <w:sz w:val="24"/>
          <w:szCs w:val="28"/>
          <w:highlight w:val="none"/>
        </w:rPr>
      </w:pPr>
      <w:r>
        <w:rPr>
          <w:rFonts w:hint="eastAsia" w:ascii="仿宋" w:hAnsi="仿宋" w:eastAsia="仿宋" w:cs="仿宋"/>
          <w:b/>
          <w:bCs/>
          <w:sz w:val="24"/>
          <w:szCs w:val="28"/>
          <w:highlight w:val="none"/>
        </w:rPr>
        <w:t>二、报价要求</w:t>
      </w:r>
    </w:p>
    <w:p>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本项目报价为人民币报价，报价包括但不限于：</w:t>
      </w:r>
      <w:r>
        <w:rPr>
          <w:rFonts w:hint="eastAsia" w:ascii="方正仿宋_GBK" w:hAnsi="方正仿宋_GBK" w:eastAsia="方正仿宋_GBK" w:cs="方正仿宋_GBK"/>
          <w:color w:val="auto"/>
          <w:sz w:val="24"/>
          <w:szCs w:val="24"/>
          <w:highlight w:val="none"/>
          <w:lang w:val="en-US" w:eastAsia="zh-CN"/>
        </w:rPr>
        <w:t>服务费、人工费、差旅费、税费，直至服务期结束的所有费用</w:t>
      </w:r>
      <w:r>
        <w:rPr>
          <w:rFonts w:hint="eastAsia" w:ascii="仿宋" w:hAnsi="仿宋" w:eastAsia="仿宋" w:cs="仿宋"/>
          <w:sz w:val="24"/>
          <w:szCs w:val="28"/>
          <w:highlight w:val="none"/>
        </w:rPr>
        <w:t>，</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应结合自身实力、市场行情自主合理报价且</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须自行考虑本项目在实施期间的一切可能产生的费用。因</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自身原因造成漏报、少报皆由其自行承担责任，</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不再补偿。</w:t>
      </w:r>
    </w:p>
    <w:p>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注：</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总报价以“报价函”填报价格为准。</w:t>
      </w:r>
    </w:p>
    <w:p>
      <w:pPr>
        <w:snapToGrid w:val="0"/>
        <w:spacing w:line="400" w:lineRule="exact"/>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bCs/>
          <w:sz w:val="24"/>
          <w:szCs w:val="28"/>
          <w:highlight w:val="none"/>
          <w:lang w:val="en-US" w:eastAsia="zh-CN"/>
        </w:rPr>
        <w:t>三、</w:t>
      </w:r>
      <w:r>
        <w:rPr>
          <w:rFonts w:hint="eastAsia" w:ascii="仿宋" w:hAnsi="仿宋" w:eastAsia="仿宋" w:cs="仿宋"/>
          <w:b/>
          <w:bCs/>
          <w:sz w:val="24"/>
          <w:szCs w:val="28"/>
          <w:highlight w:val="none"/>
        </w:rPr>
        <w:t>付款方式</w:t>
      </w:r>
      <w:r>
        <w:rPr>
          <w:rFonts w:hint="eastAsia" w:ascii="仿宋" w:hAnsi="仿宋" w:eastAsia="仿宋" w:cs="仿宋"/>
          <w:b/>
          <w:color w:val="auto"/>
          <w:sz w:val="24"/>
          <w:szCs w:val="24"/>
          <w:highlight w:val="none"/>
          <w:lang w:val="en-US" w:eastAsia="zh-CN"/>
        </w:rPr>
        <w:t>及履约保证金要求</w:t>
      </w:r>
    </w:p>
    <w:p>
      <w:pPr>
        <w:numPr>
          <w:ilvl w:val="0"/>
          <w:numId w:val="0"/>
        </w:numPr>
        <w:snapToGrid w:val="0"/>
        <w:spacing w:line="400" w:lineRule="exact"/>
        <w:ind w:left="0"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一</w:t>
      </w:r>
      <w:r>
        <w:rPr>
          <w:rFonts w:hint="eastAsia" w:ascii="仿宋" w:hAnsi="仿宋" w:eastAsia="仿宋" w:cs="仿宋"/>
          <w:color w:val="auto"/>
          <w:kern w:val="0"/>
          <w:sz w:val="24"/>
          <w:szCs w:val="24"/>
          <w:highlight w:val="none"/>
        </w:rPr>
        <w:t>）履约保证金的缴纳及退还。</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1.履约保证金的缴纳：签订合同时，</w:t>
      </w:r>
      <w:r>
        <w:rPr>
          <w:rFonts w:hint="eastAsia" w:ascii="仿宋" w:hAnsi="仿宋" w:eastAsia="仿宋" w:cs="仿宋"/>
          <w:color w:val="auto"/>
          <w:kern w:val="0"/>
          <w:sz w:val="24"/>
          <w:szCs w:val="24"/>
          <w:highlight w:val="none"/>
          <w:lang w:eastAsia="zh-CN"/>
        </w:rPr>
        <w:t>中选人</w:t>
      </w:r>
      <w:r>
        <w:rPr>
          <w:rFonts w:hint="eastAsia" w:ascii="仿宋" w:hAnsi="仿宋" w:eastAsia="仿宋" w:cs="仿宋"/>
          <w:color w:val="auto"/>
          <w:kern w:val="0"/>
          <w:sz w:val="24"/>
          <w:szCs w:val="24"/>
          <w:highlight w:val="none"/>
        </w:rPr>
        <w:t>向</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以现金、转账或电汇或银行保函等形式缴纳履约保证金，履约保证金为中标金额的5%。如</w:t>
      </w:r>
      <w:r>
        <w:rPr>
          <w:rFonts w:hint="eastAsia" w:ascii="仿宋" w:hAnsi="仿宋" w:eastAsia="仿宋" w:cs="仿宋"/>
          <w:color w:val="auto"/>
          <w:kern w:val="0"/>
          <w:sz w:val="24"/>
          <w:szCs w:val="24"/>
          <w:highlight w:val="none"/>
          <w:lang w:eastAsia="zh-CN"/>
        </w:rPr>
        <w:t>中选人</w:t>
      </w:r>
      <w:r>
        <w:rPr>
          <w:rFonts w:hint="eastAsia" w:ascii="仿宋" w:hAnsi="仿宋" w:eastAsia="仿宋" w:cs="仿宋"/>
          <w:color w:val="auto"/>
          <w:kern w:val="0"/>
          <w:sz w:val="24"/>
          <w:szCs w:val="24"/>
          <w:highlight w:val="none"/>
        </w:rPr>
        <w:t>未缴纳履约保证金，视为拒签合同，承担相应法律责任。</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2.履约保证金交款帐户：</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单位名称：重庆两江新区人民医院</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 户 行：重庆农商行两江人和支行</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帐    号：1304010120010005816</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3.履约保证金退还方式：本项目合同期结束后，</w:t>
      </w:r>
      <w:r>
        <w:rPr>
          <w:rFonts w:hint="eastAsia" w:ascii="仿宋" w:hAnsi="仿宋" w:eastAsia="仿宋" w:cs="仿宋"/>
          <w:color w:val="auto"/>
          <w:kern w:val="0"/>
          <w:sz w:val="24"/>
          <w:szCs w:val="24"/>
          <w:highlight w:val="none"/>
          <w:lang w:eastAsia="zh-CN"/>
        </w:rPr>
        <w:t>中选人</w:t>
      </w:r>
      <w:r>
        <w:rPr>
          <w:rFonts w:hint="eastAsia" w:ascii="仿宋" w:hAnsi="仿宋" w:eastAsia="仿宋" w:cs="仿宋"/>
          <w:color w:val="auto"/>
          <w:kern w:val="0"/>
          <w:sz w:val="24"/>
          <w:szCs w:val="24"/>
          <w:highlight w:val="none"/>
        </w:rPr>
        <w:t>递交履约保证金退还申请、履约保证金付款证明、合同等文件（盖</w:t>
      </w:r>
      <w:r>
        <w:rPr>
          <w:rFonts w:hint="eastAsia" w:ascii="仿宋" w:hAnsi="仿宋" w:eastAsia="仿宋" w:cs="仿宋"/>
          <w:color w:val="auto"/>
          <w:kern w:val="0"/>
          <w:sz w:val="24"/>
          <w:szCs w:val="24"/>
          <w:highlight w:val="none"/>
          <w:lang w:eastAsia="zh-CN"/>
        </w:rPr>
        <w:t>中选人</w:t>
      </w:r>
      <w:r>
        <w:rPr>
          <w:rFonts w:hint="eastAsia" w:ascii="仿宋" w:hAnsi="仿宋" w:eastAsia="仿宋" w:cs="仿宋"/>
          <w:color w:val="auto"/>
          <w:kern w:val="0"/>
          <w:sz w:val="24"/>
          <w:szCs w:val="24"/>
          <w:highlight w:val="none"/>
        </w:rPr>
        <w:t>单位公章）到</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单位，</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单位收到上述资料后，一次性无息退还全部履约保证金。若</w:t>
      </w:r>
      <w:r>
        <w:rPr>
          <w:rFonts w:hint="eastAsia" w:ascii="仿宋" w:hAnsi="仿宋" w:eastAsia="仿宋" w:cs="仿宋"/>
          <w:color w:val="auto"/>
          <w:kern w:val="0"/>
          <w:sz w:val="24"/>
          <w:szCs w:val="24"/>
          <w:highlight w:val="none"/>
          <w:lang w:eastAsia="zh-CN"/>
        </w:rPr>
        <w:t>中选人</w:t>
      </w:r>
      <w:r>
        <w:rPr>
          <w:rFonts w:hint="eastAsia" w:ascii="仿宋" w:hAnsi="仿宋" w:eastAsia="仿宋" w:cs="仿宋"/>
          <w:color w:val="auto"/>
          <w:kern w:val="0"/>
          <w:sz w:val="24"/>
          <w:szCs w:val="24"/>
          <w:highlight w:val="none"/>
        </w:rPr>
        <w:t>缴纳保函的，保函到期视为退还。</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4.保函出具要求</w:t>
      </w:r>
    </w:p>
    <w:p>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color w:val="auto"/>
          <w:kern w:val="0"/>
          <w:sz w:val="24"/>
          <w:szCs w:val="24"/>
          <w:highlight w:val="none"/>
        </w:rPr>
        <w:t>①担保项目必须为本项目；②受益人必须为本项目</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③保函担保金额必须与预付款（如有）或履约证金金额一致；④预付款保函（如有）有效时间至少涵盖合同签订之日起至项目验收合格之日止，履约保证金保函有效时间至少涵盖采购文件规定的缴纳之日起至履约保证金退还之日止；⑤保函须不可撤销见索即付，印章清晰可辩，</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有权对其真实性进行核验。若提供虚假保函，</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不予签订合同或预付款项（如有），并报有关执法机关依法处理。</w:t>
      </w:r>
    </w:p>
    <w:p>
      <w:pPr>
        <w:snapToGrid w:val="0"/>
        <w:spacing w:line="400" w:lineRule="exact"/>
        <w:ind w:firstLine="480" w:firstLineChars="20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二</w:t>
      </w: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付款方式</w:t>
      </w:r>
    </w:p>
    <w:p>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采购</w:t>
      </w:r>
      <w:r>
        <w:rPr>
          <w:rFonts w:hint="eastAsia" w:ascii="仿宋" w:hAnsi="仿宋" w:eastAsia="仿宋" w:cs="仿宋"/>
          <w:sz w:val="24"/>
          <w:szCs w:val="28"/>
          <w:highlight w:val="none"/>
          <w:lang w:val="en-US" w:eastAsia="zh-CN"/>
        </w:rPr>
        <w:t>人</w:t>
      </w:r>
      <w:r>
        <w:rPr>
          <w:rFonts w:hint="eastAsia" w:ascii="仿宋" w:hAnsi="仿宋" w:eastAsia="仿宋" w:cs="仿宋"/>
          <w:sz w:val="24"/>
          <w:szCs w:val="28"/>
          <w:highlight w:val="none"/>
          <w:lang w:eastAsia="zh-CN"/>
        </w:rPr>
        <w:t>每</w:t>
      </w:r>
      <w:r>
        <w:rPr>
          <w:rFonts w:hint="eastAsia" w:ascii="仿宋" w:hAnsi="仿宋" w:eastAsia="仿宋" w:cs="仿宋"/>
          <w:sz w:val="24"/>
          <w:szCs w:val="28"/>
          <w:highlight w:val="none"/>
          <w:lang w:val="en-US" w:eastAsia="zh-CN"/>
        </w:rPr>
        <w:t>季度将进行一次验收，验收合格</w:t>
      </w:r>
      <w:r>
        <w:rPr>
          <w:rFonts w:hint="eastAsia" w:ascii="仿宋" w:hAnsi="仿宋" w:eastAsia="仿宋" w:cs="仿宋"/>
          <w:sz w:val="24"/>
          <w:szCs w:val="28"/>
          <w:highlight w:val="none"/>
          <w:lang w:eastAsia="zh-CN"/>
        </w:rPr>
        <w:t>向中标供应商付款一次。</w:t>
      </w:r>
      <w:r>
        <w:rPr>
          <w:rFonts w:hint="eastAsia" w:ascii="仿宋" w:hAnsi="仿宋" w:eastAsia="仿宋" w:cs="仿宋"/>
          <w:sz w:val="24"/>
          <w:szCs w:val="28"/>
          <w:highlight w:val="none"/>
          <w:lang w:val="en-US" w:eastAsia="zh-CN"/>
        </w:rPr>
        <w:t>每次付款金额=合同金额的12.5%-考核扣款</w:t>
      </w:r>
      <w:r>
        <w:rPr>
          <w:rFonts w:hint="eastAsia" w:ascii="仿宋" w:hAnsi="仿宋" w:eastAsia="仿宋" w:cs="仿宋"/>
          <w:sz w:val="24"/>
          <w:szCs w:val="28"/>
          <w:highlight w:val="none"/>
        </w:rPr>
        <w:t>。</w:t>
      </w:r>
    </w:p>
    <w:p>
      <w:pPr>
        <w:snapToGrid w:val="0"/>
        <w:spacing w:line="400" w:lineRule="exact"/>
        <w:ind w:firstLine="480" w:firstLineChars="200"/>
        <w:rPr>
          <w:rFonts w:hint="default"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（三）考核扣款</w:t>
      </w:r>
    </w:p>
    <w:p>
      <w:pPr>
        <w:snapToGrid w:val="0"/>
        <w:spacing w:line="400" w:lineRule="exact"/>
        <w:ind w:firstLine="480" w:firstLineChars="200"/>
        <w:rPr>
          <w:rFonts w:hint="eastAsia" w:ascii="仿宋" w:hAnsi="仿宋" w:eastAsia="仿宋" w:cs="仿宋"/>
          <w:sz w:val="24"/>
          <w:szCs w:val="28"/>
          <w:highlight w:val="none"/>
          <w:lang w:val="en-US" w:eastAsia="zh-CN" w:bidi="ar"/>
        </w:rPr>
      </w:pPr>
      <w:r>
        <w:rPr>
          <w:rFonts w:hint="eastAsia" w:ascii="仿宋" w:hAnsi="仿宋" w:eastAsia="仿宋" w:cs="仿宋"/>
          <w:sz w:val="24"/>
          <w:szCs w:val="28"/>
          <w:highlight w:val="none"/>
          <w:lang w:val="en-US" w:eastAsia="zh-CN"/>
        </w:rPr>
        <w:t>采购人有权根据上级部门要求以及医院管理要求新增或修订考核标准，且提前一个月告知中标人</w:t>
      </w:r>
      <w:r>
        <w:rPr>
          <w:rFonts w:hint="eastAsia" w:ascii="仿宋" w:hAnsi="仿宋" w:eastAsia="仿宋" w:cs="仿宋"/>
          <w:sz w:val="24"/>
          <w:szCs w:val="28"/>
          <w:highlight w:val="none"/>
          <w:lang w:val="en-US" w:eastAsia="zh-CN" w:bidi="ar"/>
        </w:rPr>
        <w:t>。具体</w:t>
      </w:r>
      <w:r>
        <w:rPr>
          <w:rFonts w:hint="eastAsia" w:ascii="仿宋" w:hAnsi="仿宋" w:eastAsia="仿宋" w:cs="仿宋"/>
          <w:sz w:val="24"/>
          <w:szCs w:val="28"/>
          <w:highlight w:val="none"/>
          <w:lang w:val="en-US" w:eastAsia="zh-CN"/>
        </w:rPr>
        <w:t>考核扣款如下：</w:t>
      </w:r>
    </w:p>
    <w:p>
      <w:pPr>
        <w:snapToGrid w:val="0"/>
        <w:spacing w:line="400" w:lineRule="exact"/>
        <w:ind w:firstLine="480" w:firstLineChars="200"/>
        <w:rPr>
          <w:rFonts w:hint="eastAsia" w:ascii="仿宋" w:hAnsi="仿宋" w:eastAsia="仿宋" w:cs="仿宋"/>
          <w:sz w:val="24"/>
          <w:szCs w:val="28"/>
          <w:highlight w:val="none"/>
        </w:rPr>
      </w:pPr>
      <w:r>
        <w:rPr>
          <w:rFonts w:hint="eastAsia" w:ascii="仿宋" w:hAnsi="仿宋" w:eastAsia="仿宋" w:cs="仿宋"/>
          <w:b w:val="0"/>
          <w:bCs w:val="0"/>
          <w:sz w:val="24"/>
          <w:szCs w:val="28"/>
          <w:highlight w:val="none"/>
          <w:lang w:val="en-US" w:eastAsia="zh-CN"/>
        </w:rPr>
        <w:t>1.</w:t>
      </w:r>
      <w:r>
        <w:rPr>
          <w:rFonts w:hint="eastAsia" w:ascii="仿宋" w:hAnsi="仿宋" w:eastAsia="仿宋" w:cs="仿宋"/>
          <w:b/>
          <w:bCs/>
          <w:sz w:val="24"/>
          <w:szCs w:val="28"/>
          <w:highlight w:val="none"/>
          <w:lang w:val="en-US" w:eastAsia="zh-CN"/>
        </w:rPr>
        <w:t>按分值扣款。</w:t>
      </w:r>
      <w:r>
        <w:rPr>
          <w:rFonts w:hint="eastAsia" w:ascii="仿宋" w:hAnsi="仿宋" w:eastAsia="仿宋" w:cs="仿宋"/>
          <w:sz w:val="24"/>
          <w:szCs w:val="28"/>
          <w:highlight w:val="none"/>
          <w:lang w:val="en-US" w:eastAsia="zh-CN"/>
        </w:rPr>
        <w:t>总分为100分，若不符合本采购文件/供应商响应文件关于“</w:t>
      </w:r>
      <w:r>
        <w:rPr>
          <w:rFonts w:hint="eastAsia" w:ascii="仿宋" w:hAnsi="仿宋" w:eastAsia="仿宋" w:cs="仿宋"/>
          <w:sz w:val="24"/>
          <w:szCs w:val="28"/>
          <w:highlight w:val="none"/>
        </w:rPr>
        <w:t>项目服务要求</w:t>
      </w:r>
      <w:r>
        <w:rPr>
          <w:rFonts w:hint="eastAsia" w:ascii="仿宋" w:hAnsi="仿宋" w:eastAsia="仿宋" w:cs="仿宋"/>
          <w:sz w:val="24"/>
          <w:szCs w:val="28"/>
          <w:highlight w:val="none"/>
          <w:lang w:val="en-US" w:eastAsia="zh-CN"/>
        </w:rPr>
        <w:t>”相关陈述，扣1分。</w:t>
      </w:r>
      <w:r>
        <w:rPr>
          <w:rFonts w:hint="eastAsia" w:ascii="仿宋" w:hAnsi="仿宋" w:eastAsia="仿宋" w:cs="仿宋"/>
          <w:sz w:val="24"/>
          <w:szCs w:val="28"/>
          <w:highlight w:val="none"/>
        </w:rPr>
        <w:t>95分为合格分，低于95分每分扣款</w:t>
      </w:r>
      <w:r>
        <w:rPr>
          <w:rFonts w:hint="eastAsia" w:ascii="仿宋" w:hAnsi="仿宋" w:eastAsia="仿宋" w:cs="仿宋"/>
          <w:sz w:val="24"/>
          <w:szCs w:val="28"/>
          <w:highlight w:val="none"/>
          <w:lang w:val="en-US" w:eastAsia="zh-CN"/>
        </w:rPr>
        <w:t>5</w:t>
      </w:r>
      <w:r>
        <w:rPr>
          <w:rFonts w:hint="eastAsia" w:ascii="仿宋" w:hAnsi="仿宋" w:eastAsia="仿宋" w:cs="仿宋"/>
          <w:sz w:val="24"/>
          <w:szCs w:val="28"/>
          <w:highlight w:val="none"/>
        </w:rPr>
        <w:t>0元。反复发生缺陷，考核后未按要求和期限进行整改，加倍扣罚。考核情况以书面形式于次月第一周下发</w:t>
      </w:r>
      <w:r>
        <w:rPr>
          <w:rFonts w:hint="eastAsia" w:ascii="仿宋" w:hAnsi="仿宋" w:eastAsia="仿宋" w:cs="仿宋"/>
          <w:sz w:val="24"/>
          <w:szCs w:val="28"/>
          <w:highlight w:val="none"/>
          <w:lang w:val="en-US" w:eastAsia="zh-CN"/>
        </w:rPr>
        <w:t>中标人</w:t>
      </w:r>
      <w:r>
        <w:rPr>
          <w:rFonts w:hint="eastAsia" w:ascii="仿宋" w:hAnsi="仿宋" w:eastAsia="仿宋" w:cs="仿宋"/>
          <w:sz w:val="24"/>
          <w:szCs w:val="28"/>
          <w:highlight w:val="none"/>
        </w:rPr>
        <w:t>，</w:t>
      </w:r>
      <w:r>
        <w:rPr>
          <w:rFonts w:hint="eastAsia" w:ascii="仿宋" w:hAnsi="仿宋" w:eastAsia="仿宋" w:cs="仿宋"/>
          <w:sz w:val="24"/>
          <w:szCs w:val="28"/>
          <w:highlight w:val="none"/>
          <w:lang w:val="en-US" w:eastAsia="zh-CN"/>
        </w:rPr>
        <w:t>中标人</w:t>
      </w:r>
      <w:r>
        <w:rPr>
          <w:rFonts w:hint="eastAsia" w:ascii="仿宋" w:hAnsi="仿宋" w:eastAsia="仿宋" w:cs="仿宋"/>
          <w:sz w:val="24"/>
          <w:szCs w:val="28"/>
          <w:highlight w:val="none"/>
        </w:rPr>
        <w:t>可在下发5个工作日之内进行申诉。</w:t>
      </w:r>
    </w:p>
    <w:p>
      <w:pPr>
        <w:snapToGrid w:val="0"/>
        <w:spacing w:line="400" w:lineRule="exact"/>
        <w:ind w:firstLine="480" w:firstLineChars="200"/>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2.</w:t>
      </w:r>
      <w:r>
        <w:rPr>
          <w:rFonts w:hint="eastAsia" w:ascii="仿宋" w:hAnsi="仿宋" w:eastAsia="仿宋" w:cs="仿宋"/>
          <w:b/>
          <w:bCs/>
          <w:sz w:val="24"/>
          <w:szCs w:val="28"/>
          <w:highlight w:val="none"/>
          <w:lang w:val="en-US" w:eastAsia="zh-CN"/>
        </w:rPr>
        <w:t>按传输有效率扣款。</w:t>
      </w:r>
      <w:r>
        <w:rPr>
          <w:rFonts w:hint="eastAsia" w:ascii="仿宋" w:hAnsi="仿宋" w:eastAsia="仿宋" w:cs="仿宋"/>
          <w:sz w:val="24"/>
          <w:szCs w:val="28"/>
          <w:highlight w:val="none"/>
          <w:lang w:val="en-US" w:eastAsia="zh-CN"/>
        </w:rPr>
        <w:t>确保在线监测数据月传输有效率达到98%以上（如因设备故障导致传输有效率未达到98%，每降低1%扣款200元，90%以下，每降低1%扣款500元，不可抗因素除外），通过环保比对监测，满足环保管理要求。</w:t>
      </w:r>
    </w:p>
    <w:p>
      <w:pPr>
        <w:snapToGrid w:val="0"/>
        <w:spacing w:line="400" w:lineRule="exact"/>
        <w:ind w:firstLine="480" w:firstLineChars="200"/>
        <w:rPr>
          <w:rFonts w:hint="default" w:ascii="仿宋" w:hAnsi="仿宋" w:eastAsia="仿宋" w:cs="仿宋"/>
          <w:b w:val="0"/>
          <w:bCs w:val="0"/>
          <w:sz w:val="24"/>
          <w:szCs w:val="28"/>
          <w:highlight w:val="none"/>
          <w:lang w:val="en-US" w:eastAsia="zh-CN"/>
        </w:rPr>
      </w:pPr>
      <w:r>
        <w:rPr>
          <w:rFonts w:hint="eastAsia" w:ascii="仿宋" w:hAnsi="仿宋" w:eastAsia="仿宋" w:cs="仿宋"/>
          <w:b w:val="0"/>
          <w:bCs w:val="0"/>
          <w:sz w:val="24"/>
          <w:szCs w:val="28"/>
          <w:highlight w:val="none"/>
          <w:lang w:val="en-US" w:eastAsia="zh-CN"/>
        </w:rPr>
        <w:t>3.</w:t>
      </w:r>
      <w:r>
        <w:rPr>
          <w:rFonts w:hint="eastAsia" w:ascii="仿宋" w:hAnsi="仿宋" w:eastAsia="仿宋" w:cs="仿宋"/>
          <w:b/>
          <w:bCs/>
          <w:sz w:val="24"/>
          <w:szCs w:val="28"/>
          <w:highlight w:val="none"/>
          <w:lang w:val="en-US" w:eastAsia="zh-CN"/>
        </w:rPr>
        <w:t>按排障时间扣款。</w:t>
      </w:r>
      <w:r>
        <w:rPr>
          <w:rFonts w:hint="eastAsia" w:ascii="仿宋" w:hAnsi="仿宋" w:eastAsia="仿宋" w:cs="仿宋"/>
          <w:b w:val="0"/>
          <w:bCs w:val="0"/>
          <w:sz w:val="24"/>
          <w:szCs w:val="28"/>
          <w:highlight w:val="none"/>
          <w:lang w:val="en-US" w:eastAsia="zh-CN"/>
        </w:rPr>
        <w:t>一般故障排除时间不超过8小时，对不易诊断和维修的仪器故障，要求故障排除时间不超过24小时，若超出扣除违约金500元/次，所造成的损失由乙方全权负责。若中选人响应文件排障时间短于前述要求，考核时间相应简短，但违约金要求不变。</w:t>
      </w:r>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8"/>
          <w:highlight w:val="none"/>
        </w:rPr>
        <w:t>注：</w:t>
      </w:r>
      <w:r>
        <w:rPr>
          <w:rFonts w:hint="eastAsia" w:ascii="仿宋" w:hAnsi="仿宋" w:eastAsia="仿宋" w:cs="仿宋"/>
          <w:sz w:val="24"/>
          <w:szCs w:val="28"/>
          <w:highlight w:val="none"/>
          <w:lang w:val="en-US" w:eastAsia="zh-CN"/>
        </w:rPr>
        <w:t>上述</w:t>
      </w:r>
      <w:r>
        <w:rPr>
          <w:rFonts w:hint="eastAsia" w:ascii="仿宋" w:hAnsi="仿宋" w:eastAsia="仿宋" w:cs="仿宋"/>
          <w:sz w:val="24"/>
          <w:szCs w:val="28"/>
          <w:highlight w:val="none"/>
        </w:rPr>
        <w:t>所有支付均为无息支付</w:t>
      </w:r>
      <w:r>
        <w:rPr>
          <w:rFonts w:hint="eastAsia" w:ascii="仿宋" w:hAnsi="仿宋" w:eastAsia="仿宋" w:cs="仿宋"/>
          <w:kern w:val="0"/>
          <w:sz w:val="24"/>
          <w:szCs w:val="24"/>
          <w:highlight w:val="none"/>
        </w:rPr>
        <w:t>。</w:t>
      </w:r>
    </w:p>
    <w:p>
      <w:pPr>
        <w:pStyle w:val="4"/>
        <w:spacing w:line="400" w:lineRule="exact"/>
        <w:ind w:firstLine="482" w:firstLineChars="200"/>
        <w:rPr>
          <w:rFonts w:hint="eastAsia" w:ascii="仿宋" w:hAnsi="仿宋" w:eastAsia="仿宋" w:cs="仿宋"/>
          <w:b/>
          <w:sz w:val="24"/>
          <w:szCs w:val="24"/>
          <w:highlight w:val="none"/>
        </w:rPr>
      </w:pPr>
      <w:bookmarkStart w:id="23" w:name="_Toc29168"/>
      <w:bookmarkStart w:id="24" w:name="_Toc5784"/>
      <w:bookmarkStart w:id="25" w:name="_Toc3184"/>
      <w:r>
        <w:rPr>
          <w:rFonts w:hint="eastAsia" w:ascii="仿宋" w:hAnsi="仿宋" w:eastAsia="仿宋" w:cs="仿宋"/>
          <w:b/>
          <w:sz w:val="24"/>
          <w:szCs w:val="24"/>
          <w:highlight w:val="none"/>
        </w:rPr>
        <w:t>四、知识产权</w:t>
      </w:r>
      <w:bookmarkEnd w:id="23"/>
      <w:bookmarkEnd w:id="24"/>
      <w:bookmarkEnd w:id="25"/>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在中华人民共和国境内使用</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提供的货物及服务时免受第三方提出的侵犯其专利权或其它知识产权的起诉。如果第三方提出侵权指控，</w:t>
      </w:r>
      <w:r>
        <w:rPr>
          <w:rFonts w:hint="eastAsia" w:ascii="仿宋" w:hAnsi="仿宋" w:eastAsia="仿宋" w:cs="仿宋"/>
          <w:kern w:val="0"/>
          <w:sz w:val="24"/>
          <w:szCs w:val="24"/>
          <w:highlight w:val="none"/>
          <w:lang w:eastAsia="zh-CN"/>
        </w:rPr>
        <w:t>中选人</w:t>
      </w:r>
      <w:r>
        <w:rPr>
          <w:rFonts w:hint="eastAsia" w:ascii="仿宋" w:hAnsi="仿宋" w:eastAsia="仿宋" w:cs="仿宋"/>
          <w:kern w:val="0"/>
          <w:sz w:val="24"/>
          <w:szCs w:val="24"/>
          <w:highlight w:val="none"/>
        </w:rPr>
        <w:t>应承担由此而引起的一切法律责任和费用。</w:t>
      </w:r>
    </w:p>
    <w:p>
      <w:pPr>
        <w:pStyle w:val="4"/>
        <w:spacing w:line="400" w:lineRule="exact"/>
        <w:ind w:firstLine="482" w:firstLineChars="200"/>
        <w:rPr>
          <w:rFonts w:hint="eastAsia" w:ascii="仿宋" w:hAnsi="仿宋" w:eastAsia="仿宋" w:cs="仿宋"/>
          <w:b/>
          <w:sz w:val="24"/>
          <w:szCs w:val="24"/>
          <w:highlight w:val="none"/>
        </w:rPr>
      </w:pPr>
      <w:bookmarkStart w:id="26" w:name="_Toc8754"/>
      <w:bookmarkStart w:id="27" w:name="_Toc75793514"/>
      <w:bookmarkStart w:id="28" w:name="_Toc10603"/>
      <w:bookmarkStart w:id="29" w:name="_Toc267320053"/>
      <w:bookmarkStart w:id="30" w:name="_Toc5027"/>
      <w:r>
        <w:rPr>
          <w:rFonts w:hint="eastAsia" w:ascii="仿宋" w:hAnsi="仿宋" w:eastAsia="仿宋" w:cs="仿宋"/>
          <w:b/>
          <w:sz w:val="24"/>
          <w:szCs w:val="24"/>
          <w:highlight w:val="none"/>
        </w:rPr>
        <w:t>五、</w:t>
      </w:r>
      <w:bookmarkEnd w:id="26"/>
      <w:bookmarkEnd w:id="27"/>
      <w:bookmarkEnd w:id="28"/>
      <w:bookmarkEnd w:id="29"/>
      <w:bookmarkStart w:id="31" w:name="_Toc919"/>
      <w:bookmarkStart w:id="32" w:name="_Toc2897"/>
      <w:r>
        <w:rPr>
          <w:rFonts w:hint="eastAsia" w:ascii="仿宋" w:hAnsi="仿宋" w:eastAsia="仿宋" w:cs="仿宋"/>
          <w:b/>
          <w:sz w:val="24"/>
          <w:szCs w:val="24"/>
          <w:highlight w:val="none"/>
        </w:rPr>
        <w:t>其他商务要求内容</w:t>
      </w:r>
      <w:bookmarkEnd w:id="30"/>
      <w:bookmarkEnd w:id="31"/>
      <w:bookmarkEnd w:id="32"/>
    </w:p>
    <w:p>
      <w:pPr>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必须在</w:t>
      </w:r>
      <w:r>
        <w:rPr>
          <w:rFonts w:hint="eastAsia" w:ascii="仿宋" w:hAnsi="仿宋" w:eastAsia="仿宋" w:cs="仿宋"/>
          <w:b w:val="0"/>
          <w:bCs/>
          <w:color w:val="auto"/>
          <w:sz w:val="24"/>
          <w:szCs w:val="24"/>
          <w:highlight w:val="none"/>
          <w:lang w:eastAsia="zh-CN"/>
        </w:rPr>
        <w:t>申请文件</w:t>
      </w:r>
      <w:r>
        <w:rPr>
          <w:rFonts w:hint="eastAsia" w:ascii="仿宋" w:hAnsi="仿宋" w:eastAsia="仿宋" w:cs="仿宋"/>
          <w:b w:val="0"/>
          <w:bCs/>
          <w:color w:val="auto"/>
          <w:sz w:val="24"/>
          <w:szCs w:val="24"/>
          <w:highlight w:val="none"/>
        </w:rPr>
        <w:t>中对以上条款和服务承诺明确列出，承诺内容必须达到本篇及</w:t>
      </w:r>
      <w:r>
        <w:rPr>
          <w:rFonts w:hint="eastAsia" w:ascii="仿宋" w:hAnsi="仿宋" w:eastAsia="仿宋" w:cs="仿宋"/>
          <w:b w:val="0"/>
          <w:bCs/>
          <w:color w:val="auto"/>
          <w:sz w:val="24"/>
          <w:szCs w:val="24"/>
          <w:highlight w:val="none"/>
          <w:lang w:val="en-US" w:eastAsia="zh-CN"/>
        </w:rPr>
        <w:t>竞采</w:t>
      </w:r>
      <w:r>
        <w:rPr>
          <w:rFonts w:hint="eastAsia" w:ascii="仿宋" w:hAnsi="仿宋" w:eastAsia="仿宋" w:cs="仿宋"/>
          <w:b w:val="0"/>
          <w:bCs/>
          <w:color w:val="auto"/>
          <w:sz w:val="24"/>
          <w:szCs w:val="24"/>
          <w:highlight w:val="none"/>
        </w:rPr>
        <w:t>文件其他条款的要求。</w:t>
      </w:r>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其他未尽事宜由供需双方在采购合同中详细约定</w:t>
      </w:r>
      <w:r>
        <w:rPr>
          <w:rFonts w:hint="eastAsia" w:ascii="仿宋" w:hAnsi="仿宋" w:eastAsia="仿宋" w:cs="仿宋"/>
          <w:kern w:val="0"/>
          <w:sz w:val="24"/>
          <w:szCs w:val="24"/>
          <w:highlight w:val="none"/>
        </w:rPr>
        <w:t>。</w:t>
      </w:r>
    </w:p>
    <w:p>
      <w:pPr>
        <w:pStyle w:val="3"/>
        <w:spacing w:before="0" w:beforeLines="0" w:after="0" w:afterLines="0" w:line="360" w:lineRule="auto"/>
        <w:rPr>
          <w:rFonts w:hint="eastAsia" w:ascii="仿宋" w:hAnsi="仿宋" w:eastAsia="仿宋" w:cs="仿宋"/>
          <w:b/>
          <w:highlight w:val="none"/>
        </w:rPr>
      </w:pPr>
      <w:r>
        <w:rPr>
          <w:rFonts w:hint="eastAsia" w:ascii="仿宋" w:hAnsi="仿宋" w:eastAsia="仿宋" w:cs="仿宋"/>
          <w:sz w:val="28"/>
          <w:highlight w:val="none"/>
        </w:rPr>
        <w:br w:type="page"/>
      </w:r>
      <w:bookmarkStart w:id="33" w:name="_Toc8767"/>
      <w:r>
        <w:rPr>
          <w:rFonts w:hint="eastAsia" w:ascii="仿宋" w:hAnsi="仿宋" w:eastAsia="仿宋" w:cs="仿宋"/>
          <w:b/>
          <w:highlight w:val="none"/>
        </w:rPr>
        <w:t>第四篇  资格审查及评标办法</w:t>
      </w:r>
      <w:bookmarkEnd w:id="33"/>
    </w:p>
    <w:p>
      <w:pPr>
        <w:pStyle w:val="4"/>
        <w:spacing w:line="400" w:lineRule="exact"/>
        <w:ind w:firstLine="482" w:firstLineChars="200"/>
        <w:rPr>
          <w:rFonts w:hint="eastAsia" w:ascii="仿宋" w:hAnsi="仿宋" w:eastAsia="仿宋" w:cs="仿宋"/>
          <w:b/>
          <w:sz w:val="24"/>
          <w:szCs w:val="24"/>
          <w:highlight w:val="none"/>
        </w:rPr>
      </w:pPr>
      <w:bookmarkStart w:id="34" w:name="_Toc15841"/>
      <w:bookmarkStart w:id="35" w:name="_Toc12759"/>
      <w:bookmarkStart w:id="36" w:name="_Toc5292"/>
      <w:r>
        <w:rPr>
          <w:rFonts w:hint="eastAsia" w:ascii="仿宋" w:hAnsi="仿宋" w:eastAsia="仿宋" w:cs="仿宋"/>
          <w:b/>
          <w:sz w:val="24"/>
          <w:szCs w:val="24"/>
          <w:highlight w:val="none"/>
        </w:rPr>
        <w:t>一、评标方法</w:t>
      </w:r>
      <w:bookmarkEnd w:id="34"/>
      <w:bookmarkEnd w:id="35"/>
      <w:bookmarkEnd w:id="36"/>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（一）评标方法定义</w:t>
      </w:r>
    </w:p>
    <w:p>
      <w:pPr>
        <w:snapToGrid w:val="0"/>
        <w:spacing w:line="400" w:lineRule="exact"/>
        <w:ind w:firstLine="482" w:firstLineChars="200"/>
        <w:rPr>
          <w:rFonts w:hint="eastAsia" w:ascii="仿宋" w:hAnsi="仿宋" w:eastAsia="仿宋" w:cs="仿宋"/>
          <w:kern w:val="0"/>
          <w:sz w:val="24"/>
          <w:szCs w:val="24"/>
          <w:highlight w:val="none"/>
        </w:rPr>
      </w:pPr>
      <w:r>
        <w:rPr>
          <w:rFonts w:hint="eastAsia" w:ascii="仿宋" w:hAnsi="仿宋" w:eastAsia="仿宋" w:cs="仿宋"/>
          <w:b/>
          <w:kern w:val="0"/>
          <w:sz w:val="24"/>
          <w:szCs w:val="24"/>
          <w:highlight w:val="none"/>
        </w:rPr>
        <w:t>综合评分法：</w:t>
      </w:r>
      <w:r>
        <w:rPr>
          <w:rFonts w:hint="eastAsia" w:ascii="仿宋" w:hAnsi="仿宋" w:eastAsia="仿宋" w:cs="仿宋"/>
          <w:kern w:val="0"/>
          <w:sz w:val="24"/>
          <w:szCs w:val="24"/>
          <w:highlight w:val="none"/>
        </w:rPr>
        <w:t>本项目采用综合评分法进行评标。综合评分法，是指</w:t>
      </w:r>
      <w:r>
        <w:rPr>
          <w:rFonts w:hint="eastAsia" w:ascii="仿宋" w:hAnsi="仿宋" w:eastAsia="仿宋" w:cs="仿宋"/>
          <w:kern w:val="0"/>
          <w:sz w:val="24"/>
          <w:szCs w:val="24"/>
          <w:highlight w:val="none"/>
          <w:lang w:eastAsia="zh-CN"/>
        </w:rPr>
        <w:t>申请文件</w:t>
      </w:r>
      <w:r>
        <w:rPr>
          <w:rFonts w:hint="eastAsia" w:ascii="仿宋" w:hAnsi="仿宋" w:eastAsia="仿宋" w:cs="仿宋"/>
          <w:kern w:val="0"/>
          <w:sz w:val="24"/>
          <w:szCs w:val="24"/>
          <w:highlight w:val="none"/>
        </w:rPr>
        <w:t>满足竞争性比选文件资格要求且按照评审因素的量化指标评审得分最高的</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为</w:t>
      </w:r>
      <w:r>
        <w:rPr>
          <w:rFonts w:hint="eastAsia" w:ascii="仿宋" w:hAnsi="仿宋" w:eastAsia="仿宋" w:cs="仿宋"/>
          <w:kern w:val="0"/>
          <w:sz w:val="24"/>
          <w:szCs w:val="24"/>
          <w:highlight w:val="none"/>
          <w:lang w:eastAsia="zh-CN"/>
        </w:rPr>
        <w:t>中选</w:t>
      </w:r>
      <w:r>
        <w:rPr>
          <w:rFonts w:hint="eastAsia" w:ascii="仿宋" w:hAnsi="仿宋" w:eastAsia="仿宋" w:cs="仿宋"/>
          <w:kern w:val="0"/>
          <w:sz w:val="24"/>
          <w:szCs w:val="24"/>
          <w:highlight w:val="none"/>
        </w:rPr>
        <w:t>候选</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的评标方法。</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总得分为价格、商务、</w:t>
      </w:r>
      <w:r>
        <w:rPr>
          <w:rFonts w:hint="eastAsia" w:ascii="仿宋" w:hAnsi="仿宋" w:eastAsia="仿宋" w:cs="仿宋"/>
          <w:kern w:val="0"/>
          <w:sz w:val="24"/>
          <w:szCs w:val="24"/>
          <w:highlight w:val="none"/>
          <w:lang w:val="en-US" w:eastAsia="zh-CN"/>
        </w:rPr>
        <w:t>服务</w:t>
      </w:r>
      <w:r>
        <w:rPr>
          <w:rFonts w:hint="eastAsia" w:ascii="仿宋" w:hAnsi="仿宋" w:eastAsia="仿宋" w:cs="仿宋"/>
          <w:kern w:val="0"/>
          <w:sz w:val="24"/>
          <w:szCs w:val="24"/>
          <w:highlight w:val="none"/>
        </w:rPr>
        <w:t>等评定因素分别按照相应权重值计算分项得分后相加，满分为100分。</w:t>
      </w:r>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（二）评标程序</w:t>
      </w:r>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评审工作由采购代理机构负责组织，具体评标事务由采购代理机构依法组建的评审小组负责。</w:t>
      </w:r>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评审小组成员到位后，推举其中一位评审专家担任评审组长，并由评审组长牵头组织该项目评审工作。评审小组按以下程序独立履行评审职责：</w:t>
      </w:r>
    </w:p>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1.资格性检查。依据法律法规和竞争性比选文件的规定，对</w:t>
      </w:r>
      <w:r>
        <w:rPr>
          <w:rFonts w:hint="eastAsia" w:ascii="仿宋" w:hAnsi="仿宋" w:eastAsia="仿宋" w:cs="仿宋"/>
          <w:kern w:val="0"/>
          <w:sz w:val="24"/>
          <w:szCs w:val="24"/>
          <w:highlight w:val="none"/>
          <w:lang w:eastAsia="zh-CN"/>
        </w:rPr>
        <w:t>申请文件</w:t>
      </w:r>
      <w:r>
        <w:rPr>
          <w:rFonts w:hint="eastAsia" w:ascii="仿宋" w:hAnsi="仿宋" w:eastAsia="仿宋" w:cs="仿宋"/>
          <w:kern w:val="0"/>
          <w:sz w:val="24"/>
          <w:szCs w:val="24"/>
          <w:highlight w:val="none"/>
        </w:rPr>
        <w:t>中的资格证明进行审查，以确定</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是否具备竞标资格。资格性检查资料表如下：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60"/>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noWrap w:val="0"/>
            <w:vAlign w:val="center"/>
          </w:tcPr>
          <w:p>
            <w:pPr>
              <w:spacing w:line="240" w:lineRule="exact"/>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969" w:type="dxa"/>
            <w:gridSpan w:val="2"/>
            <w:noWrap w:val="0"/>
            <w:vAlign w:val="center"/>
          </w:tcPr>
          <w:p>
            <w:pPr>
              <w:spacing w:line="240" w:lineRule="exact"/>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983" w:type="dxa"/>
            <w:noWrap w:val="0"/>
            <w:vAlign w:val="center"/>
          </w:tcPr>
          <w:p>
            <w:pPr>
              <w:spacing w:line="240" w:lineRule="exact"/>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24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09" w:type="dxa"/>
            <w:vMerge w:val="restart"/>
            <w:noWrap w:val="0"/>
            <w:vAlign w:val="center"/>
          </w:tcPr>
          <w:p>
            <w:pP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一般资格条件</w:t>
            </w:r>
          </w:p>
        </w:tc>
        <w:tc>
          <w:tcPr>
            <w:tcW w:w="3260" w:type="dxa"/>
            <w:noWrap w:val="0"/>
            <w:vAlign w:val="center"/>
          </w:tcPr>
          <w:p>
            <w:pPr>
              <w:spacing w:line="2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983" w:type="dxa"/>
            <w:noWrap w:val="0"/>
            <w:vAlign w:val="center"/>
          </w:tcPr>
          <w:p>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法人营业执照（副本）（提供复印件）； </w:t>
            </w:r>
          </w:p>
          <w:p>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val="en-US" w:eastAsia="zh-CN"/>
              </w:rPr>
              <w:t>/负责人</w:t>
            </w:r>
            <w:r>
              <w:rPr>
                <w:rFonts w:hint="eastAsia" w:ascii="仿宋" w:hAnsi="仿宋" w:eastAsia="仿宋" w:cs="仿宋"/>
                <w:color w:val="auto"/>
                <w:sz w:val="21"/>
                <w:szCs w:val="21"/>
                <w:highlight w:val="none"/>
              </w:rPr>
              <w:t>身份证明和法定代表人授权委托书，若由法定代表人直接参加投标的，则无需提供授权委托书及授权代表的身份证明。</w:t>
            </w:r>
          </w:p>
          <w:p>
            <w:pPr>
              <w:spacing w:line="240" w:lineRule="exact"/>
              <w:rPr>
                <w:rFonts w:hint="eastAsia" w:ascii="仿宋" w:hAnsi="仿宋" w:eastAsia="仿宋" w:cs="仿宋"/>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val="en-US" w:eastAsia="zh-CN"/>
              </w:rPr>
              <w:t>/负责人及</w:t>
            </w:r>
            <w:r>
              <w:rPr>
                <w:rFonts w:hint="eastAsia" w:ascii="仿宋" w:hAnsi="仿宋" w:eastAsia="仿宋" w:cs="仿宋"/>
                <w:color w:val="auto"/>
                <w:sz w:val="21"/>
                <w:szCs w:val="21"/>
                <w:highlight w:val="none"/>
              </w:rPr>
              <w:t>授权代表均须提供开标截止日当月前3个月中任意一个月加盖社保局公章或电子章的社保证明，同时加盖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公章</w:t>
            </w:r>
            <w:r>
              <w:rPr>
                <w:rFonts w:hint="eastAsia" w:ascii="仿宋" w:hAnsi="仿宋" w:eastAsia="仿宋" w:cs="仿宋"/>
                <w:b/>
                <w:bCs/>
                <w:color w:val="auto"/>
                <w:sz w:val="21"/>
                <w:szCs w:val="21"/>
                <w:highlight w:val="none"/>
              </w:rPr>
              <w:t>（注：授权代表的社保缴费单位须为</w:t>
            </w:r>
            <w:r>
              <w:rPr>
                <w:rFonts w:hint="eastAsia" w:ascii="仿宋" w:hAnsi="仿宋" w:eastAsia="仿宋" w:cs="仿宋"/>
                <w:b/>
                <w:bCs/>
                <w:color w:val="auto"/>
                <w:sz w:val="21"/>
                <w:szCs w:val="21"/>
                <w:highlight w:val="none"/>
                <w:lang w:eastAsia="zh-CN"/>
              </w:rPr>
              <w:t>供应商</w:t>
            </w:r>
            <w:r>
              <w:rPr>
                <w:rFonts w:hint="eastAsia" w:ascii="仿宋" w:hAnsi="仿宋" w:eastAsia="仿宋" w:cs="仿宋"/>
                <w:b/>
                <w:bCs/>
                <w:color w:val="auto"/>
                <w:sz w:val="21"/>
                <w:szCs w:val="21"/>
                <w:highlight w:val="none"/>
              </w:rPr>
              <w:t>；法定代表人退休或未缴纳社保，按</w:t>
            </w:r>
            <w:r>
              <w:rPr>
                <w:rFonts w:hint="eastAsia" w:ascii="仿宋" w:hAnsi="仿宋" w:eastAsia="仿宋" w:cs="仿宋"/>
                <w:b/>
                <w:bCs/>
                <w:color w:val="auto"/>
                <w:sz w:val="21"/>
                <w:szCs w:val="21"/>
                <w:highlight w:val="none"/>
                <w:lang w:val="en-US" w:eastAsia="zh-CN"/>
              </w:rPr>
              <w:t>比选文件</w:t>
            </w:r>
            <w:r>
              <w:rPr>
                <w:rFonts w:hint="eastAsia" w:ascii="仿宋" w:hAnsi="仿宋" w:eastAsia="仿宋" w:cs="仿宋"/>
                <w:b/>
                <w:bCs/>
                <w:color w:val="auto"/>
                <w:sz w:val="21"/>
                <w:szCs w:val="21"/>
                <w:highlight w:val="none"/>
              </w:rPr>
              <w:t>文件第七篇的“</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rPr>
              <w:t>资格</w:t>
            </w:r>
            <w:r>
              <w:rPr>
                <w:rFonts w:hint="eastAsia" w:ascii="仿宋" w:hAnsi="仿宋" w:eastAsia="仿宋" w:cs="仿宋"/>
                <w:b/>
                <w:bCs/>
                <w:color w:val="auto"/>
                <w:sz w:val="21"/>
                <w:szCs w:val="21"/>
                <w:highlight w:val="none"/>
                <w:lang w:val="en-US" w:eastAsia="zh-CN"/>
              </w:rPr>
              <w:t>文件</w:t>
            </w:r>
            <w:r>
              <w:rPr>
                <w:rFonts w:hint="eastAsia" w:ascii="仿宋" w:hAnsi="仿宋" w:eastAsia="仿宋" w:cs="仿宋"/>
                <w:b/>
                <w:bCs/>
                <w:color w:val="auto"/>
                <w:sz w:val="21"/>
                <w:szCs w:val="21"/>
                <w:highlight w:val="none"/>
              </w:rPr>
              <w:t>”的“（四）法定代表人未缴纳社保情况说明”填写，法定代表人缴纳社保在其他单位的，须提供在其他单位参保的社保证明材料）</w:t>
            </w:r>
            <w:r>
              <w:rPr>
                <w:rFonts w:hint="eastAsia" w:ascii="仿宋" w:hAnsi="仿宋" w:eastAsia="仿宋" w:cs="仿宋"/>
                <w:color w:val="auto"/>
                <w:sz w:val="21"/>
                <w:szCs w:val="21"/>
                <w:highlight w:val="none"/>
              </w:rPr>
              <w:t>，若法定代表人直接参加投标的，则无需提供授权代表的社保证明。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仿宋" w:hAnsi="仿宋" w:eastAsia="仿宋" w:cs="仿宋"/>
                <w:sz w:val="21"/>
                <w:szCs w:val="21"/>
                <w:highlight w:val="none"/>
              </w:rPr>
            </w:pPr>
          </w:p>
        </w:tc>
        <w:tc>
          <w:tcPr>
            <w:tcW w:w="709" w:type="dxa"/>
            <w:vMerge w:val="continue"/>
            <w:noWrap w:val="0"/>
            <w:vAlign w:val="center"/>
          </w:tcPr>
          <w:p>
            <w:pPr>
              <w:spacing w:line="240" w:lineRule="exact"/>
              <w:rPr>
                <w:rFonts w:hint="eastAsia" w:ascii="仿宋" w:hAnsi="仿宋" w:eastAsia="仿宋" w:cs="仿宋"/>
                <w:sz w:val="21"/>
                <w:szCs w:val="21"/>
                <w:highlight w:val="none"/>
                <w:lang w:val="zh-CN"/>
              </w:rPr>
            </w:pPr>
          </w:p>
        </w:tc>
        <w:tc>
          <w:tcPr>
            <w:tcW w:w="3260" w:type="dxa"/>
            <w:noWrap w:val="0"/>
            <w:vAlign w:val="center"/>
          </w:tcPr>
          <w:p>
            <w:pP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（2）具有良好的商业信誉和健全的财务会计制度</w:t>
            </w:r>
          </w:p>
        </w:tc>
        <w:tc>
          <w:tcPr>
            <w:tcW w:w="4983" w:type="dxa"/>
            <w:vMerge w:val="restart"/>
            <w:noWrap w:val="0"/>
            <w:vAlign w:val="center"/>
          </w:tcPr>
          <w:p>
            <w:pPr>
              <w:spacing w:line="240" w:lineRule="exact"/>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仿宋" w:hAnsi="仿宋" w:eastAsia="仿宋" w:cs="仿宋"/>
                <w:sz w:val="21"/>
                <w:szCs w:val="21"/>
                <w:highlight w:val="none"/>
              </w:rPr>
            </w:pPr>
          </w:p>
        </w:tc>
        <w:tc>
          <w:tcPr>
            <w:tcW w:w="709" w:type="dxa"/>
            <w:vMerge w:val="continue"/>
            <w:noWrap w:val="0"/>
            <w:vAlign w:val="center"/>
          </w:tcPr>
          <w:p>
            <w:pPr>
              <w:spacing w:line="240" w:lineRule="exact"/>
              <w:rPr>
                <w:rFonts w:hint="eastAsia" w:ascii="仿宋" w:hAnsi="仿宋" w:eastAsia="仿宋" w:cs="仿宋"/>
                <w:sz w:val="21"/>
                <w:szCs w:val="21"/>
                <w:highlight w:val="none"/>
                <w:lang w:val="zh-CN"/>
              </w:rPr>
            </w:pPr>
          </w:p>
        </w:tc>
        <w:tc>
          <w:tcPr>
            <w:tcW w:w="3260" w:type="dxa"/>
            <w:noWrap w:val="0"/>
            <w:vAlign w:val="center"/>
          </w:tcPr>
          <w:p>
            <w:pP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983" w:type="dxa"/>
            <w:vMerge w:val="continue"/>
            <w:noWrap w:val="0"/>
            <w:vAlign w:val="center"/>
          </w:tcPr>
          <w:p>
            <w:pPr>
              <w:spacing w:line="240" w:lineRule="exac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仿宋" w:hAnsi="仿宋" w:eastAsia="仿宋" w:cs="仿宋"/>
                <w:sz w:val="21"/>
                <w:szCs w:val="21"/>
                <w:highlight w:val="none"/>
              </w:rPr>
            </w:pPr>
          </w:p>
        </w:tc>
        <w:tc>
          <w:tcPr>
            <w:tcW w:w="709" w:type="dxa"/>
            <w:vMerge w:val="continue"/>
            <w:noWrap w:val="0"/>
            <w:vAlign w:val="center"/>
          </w:tcPr>
          <w:p>
            <w:pPr>
              <w:spacing w:line="240" w:lineRule="exact"/>
              <w:rPr>
                <w:rFonts w:hint="eastAsia" w:ascii="仿宋" w:hAnsi="仿宋" w:eastAsia="仿宋" w:cs="仿宋"/>
                <w:sz w:val="21"/>
                <w:szCs w:val="21"/>
                <w:highlight w:val="none"/>
                <w:lang w:val="zh-CN"/>
              </w:rPr>
            </w:pPr>
          </w:p>
        </w:tc>
        <w:tc>
          <w:tcPr>
            <w:tcW w:w="3260" w:type="dxa"/>
            <w:noWrap w:val="0"/>
            <w:vAlign w:val="center"/>
          </w:tcPr>
          <w:p>
            <w:pP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983" w:type="dxa"/>
            <w:vMerge w:val="continue"/>
            <w:noWrap w:val="0"/>
            <w:vAlign w:val="center"/>
          </w:tcPr>
          <w:p>
            <w:pPr>
              <w:spacing w:line="240" w:lineRule="exac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6" w:type="dxa"/>
            <w:vMerge w:val="continue"/>
            <w:noWrap w:val="0"/>
            <w:vAlign w:val="center"/>
          </w:tcPr>
          <w:p>
            <w:pPr>
              <w:spacing w:line="240" w:lineRule="exact"/>
              <w:jc w:val="center"/>
              <w:rPr>
                <w:rFonts w:hint="eastAsia" w:ascii="仿宋" w:hAnsi="仿宋" w:eastAsia="仿宋" w:cs="仿宋"/>
                <w:sz w:val="21"/>
                <w:szCs w:val="21"/>
                <w:highlight w:val="none"/>
              </w:rPr>
            </w:pPr>
          </w:p>
        </w:tc>
        <w:tc>
          <w:tcPr>
            <w:tcW w:w="709" w:type="dxa"/>
            <w:vMerge w:val="continue"/>
            <w:noWrap w:val="0"/>
            <w:vAlign w:val="center"/>
          </w:tcPr>
          <w:p>
            <w:pPr>
              <w:spacing w:line="240" w:lineRule="exact"/>
              <w:rPr>
                <w:rFonts w:hint="eastAsia" w:ascii="仿宋" w:hAnsi="仿宋" w:eastAsia="仿宋" w:cs="仿宋"/>
                <w:sz w:val="21"/>
                <w:szCs w:val="21"/>
                <w:highlight w:val="none"/>
                <w:lang w:val="zh-CN"/>
              </w:rPr>
            </w:pPr>
          </w:p>
        </w:tc>
        <w:tc>
          <w:tcPr>
            <w:tcW w:w="3260" w:type="dxa"/>
            <w:noWrap w:val="0"/>
            <w:vAlign w:val="center"/>
          </w:tcPr>
          <w:p>
            <w:pP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（5）参加采购活动前三年内，在经营活动中没有重大违法记录</w:t>
            </w:r>
          </w:p>
        </w:tc>
        <w:tc>
          <w:tcPr>
            <w:tcW w:w="4983" w:type="dxa"/>
            <w:vMerge w:val="continue"/>
            <w:noWrap w:val="0"/>
            <w:vAlign w:val="center"/>
          </w:tcPr>
          <w:p>
            <w:pPr>
              <w:spacing w:line="240" w:lineRule="exact"/>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6" w:type="dxa"/>
            <w:noWrap w:val="0"/>
            <w:vAlign w:val="center"/>
          </w:tcPr>
          <w:p>
            <w:pPr>
              <w:spacing w:line="24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3969" w:type="dxa"/>
            <w:gridSpan w:val="2"/>
            <w:noWrap w:val="0"/>
            <w:vAlign w:val="center"/>
          </w:tcPr>
          <w:p>
            <w:pPr>
              <w:spacing w:line="240" w:lineRule="exact"/>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特定资格条件</w:t>
            </w:r>
          </w:p>
        </w:tc>
        <w:tc>
          <w:tcPr>
            <w:tcW w:w="4983" w:type="dxa"/>
            <w:noWrap w:val="0"/>
            <w:vAlign w:val="center"/>
          </w:tcPr>
          <w:p>
            <w:pPr>
              <w:spacing w:line="2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w:t>
            </w:r>
            <w:r>
              <w:rPr>
                <w:rFonts w:hint="eastAsia" w:ascii="仿宋" w:hAnsi="仿宋" w:eastAsia="仿宋" w:cs="仿宋"/>
                <w:sz w:val="21"/>
                <w:szCs w:val="21"/>
                <w:highlight w:val="none"/>
                <w:lang w:eastAsia="zh-CN"/>
              </w:rPr>
              <w:t>供应商</w:t>
            </w:r>
            <w:r>
              <w:rPr>
                <w:rFonts w:hint="eastAsia" w:ascii="仿宋" w:hAnsi="仿宋" w:eastAsia="仿宋" w:cs="仿宋"/>
                <w:sz w:val="21"/>
                <w:szCs w:val="21"/>
                <w:highlight w:val="none"/>
              </w:rPr>
              <w:t>资格要求”中“（二）特定资格条件”的要求提交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6" w:type="dxa"/>
            <w:noWrap w:val="0"/>
            <w:vAlign w:val="center"/>
          </w:tcPr>
          <w:p>
            <w:pPr>
              <w:spacing w:line="24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3969" w:type="dxa"/>
            <w:gridSpan w:val="2"/>
            <w:noWrap w:val="0"/>
            <w:vAlign w:val="center"/>
          </w:tcPr>
          <w:p>
            <w:pPr>
              <w:spacing w:line="2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竞标保证金</w:t>
            </w:r>
          </w:p>
        </w:tc>
        <w:tc>
          <w:tcPr>
            <w:tcW w:w="4983" w:type="dxa"/>
            <w:noWrap w:val="0"/>
            <w:vAlign w:val="center"/>
          </w:tcPr>
          <w:p>
            <w:pPr>
              <w:spacing w:line="240" w:lineRule="exac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无</w:t>
            </w:r>
          </w:p>
        </w:tc>
      </w:tr>
    </w:tbl>
    <w:p>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pPr>
        <w:numPr>
          <w:ilvl w:val="0"/>
          <w:numId w:val="0"/>
        </w:numPr>
        <w:snapToGrid w:val="0"/>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numPr>
          <w:ilvl w:val="0"/>
          <w:numId w:val="0"/>
        </w:numPr>
        <w:snapToGrid w:val="0"/>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（2）在评审阶段资格性检查时采购代理机构将通过 “信用中国”网站(www.creditchina.gov.cn)和 “中国政府采购网”网站(www.ccgp.gov.cn)对供应商的信用记录进行查询：供应商被列入“信用中国”网站“失信被执行人”或“重大税收违法案件当事人名单”，拒绝其参与政府采购活动；供应商处于“中国政府采购网”“政府采购严重违法失信行为记录”中的禁止参加政府采购活动期间的，将拒绝其参与政府采购活动。上述的查询记录截止评审阶段资格性检查结束时止。</w:t>
      </w:r>
    </w:p>
    <w:p>
      <w:pPr>
        <w:numPr>
          <w:ilvl w:val="0"/>
          <w:numId w:val="0"/>
        </w:numPr>
        <w:snapToGrid w:val="0"/>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采购代理机构将查询网页打印、签字并存档备查。供应商信用记录以采购代理机构查询结果为准。在本</w:t>
      </w:r>
      <w:r>
        <w:rPr>
          <w:rFonts w:hint="eastAsia" w:ascii="仿宋" w:hAnsi="仿宋" w:eastAsia="仿宋" w:cs="仿宋"/>
          <w:kern w:val="0"/>
          <w:sz w:val="24"/>
          <w:szCs w:val="24"/>
          <w:highlight w:val="none"/>
          <w:lang w:eastAsia="zh-CN"/>
        </w:rPr>
        <w:t>比选文件</w:t>
      </w:r>
      <w:r>
        <w:rPr>
          <w:rFonts w:hint="eastAsia" w:ascii="仿宋" w:hAnsi="仿宋" w:eastAsia="仿宋" w:cs="仿宋"/>
          <w:kern w:val="0"/>
          <w:sz w:val="24"/>
          <w:szCs w:val="24"/>
          <w:highlight w:val="none"/>
        </w:rPr>
        <w:t>规定的查询时间之后，网站信息发生的任何变更均不再作为评审依据，供应商自行提供的与网站信息不一致的其他证明材料亦不作为评审依据。2、符合性检查。依据</w:t>
      </w:r>
      <w:r>
        <w:rPr>
          <w:rFonts w:hint="eastAsia" w:ascii="仿宋" w:hAnsi="仿宋" w:eastAsia="仿宋" w:cs="仿宋"/>
          <w:kern w:val="0"/>
          <w:sz w:val="24"/>
          <w:szCs w:val="24"/>
          <w:highlight w:val="none"/>
          <w:lang w:eastAsia="zh-CN"/>
        </w:rPr>
        <w:t>比选文件</w:t>
      </w:r>
      <w:r>
        <w:rPr>
          <w:rFonts w:hint="eastAsia" w:ascii="仿宋" w:hAnsi="仿宋" w:eastAsia="仿宋" w:cs="仿宋"/>
          <w:kern w:val="0"/>
          <w:sz w:val="24"/>
          <w:szCs w:val="24"/>
          <w:highlight w:val="none"/>
        </w:rPr>
        <w:t>的规定，从响应文件的有效性、完整性和对</w:t>
      </w:r>
      <w:r>
        <w:rPr>
          <w:rFonts w:hint="eastAsia" w:ascii="仿宋" w:hAnsi="仿宋" w:eastAsia="仿宋" w:cs="仿宋"/>
          <w:kern w:val="0"/>
          <w:sz w:val="24"/>
          <w:szCs w:val="24"/>
          <w:highlight w:val="none"/>
          <w:lang w:eastAsia="zh-CN"/>
        </w:rPr>
        <w:t>比选文件</w:t>
      </w:r>
      <w:r>
        <w:rPr>
          <w:rFonts w:hint="eastAsia" w:ascii="仿宋" w:hAnsi="仿宋" w:eastAsia="仿宋" w:cs="仿宋"/>
          <w:kern w:val="0"/>
          <w:sz w:val="24"/>
          <w:szCs w:val="24"/>
          <w:highlight w:val="none"/>
        </w:rPr>
        <w:t>的响应程度进行审查，以确定是否对</w:t>
      </w:r>
      <w:r>
        <w:rPr>
          <w:rFonts w:hint="eastAsia" w:ascii="仿宋" w:hAnsi="仿宋" w:eastAsia="仿宋" w:cs="仿宋"/>
          <w:kern w:val="0"/>
          <w:sz w:val="24"/>
          <w:szCs w:val="24"/>
          <w:highlight w:val="none"/>
          <w:lang w:eastAsia="zh-CN"/>
        </w:rPr>
        <w:t>比选文件</w:t>
      </w:r>
      <w:r>
        <w:rPr>
          <w:rFonts w:hint="eastAsia" w:ascii="仿宋" w:hAnsi="仿宋" w:eastAsia="仿宋" w:cs="仿宋"/>
          <w:kern w:val="0"/>
          <w:sz w:val="24"/>
          <w:szCs w:val="24"/>
          <w:highlight w:val="none"/>
        </w:rPr>
        <w:t>的实质性要求作出响应。符合性检查资料表如下：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6" w:type="dxa"/>
            <w:gridSpan w:val="2"/>
            <w:noWrap w:val="0"/>
            <w:vAlign w:val="center"/>
          </w:tcPr>
          <w:p>
            <w:pPr>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noWrap w:val="0"/>
            <w:vAlign w:val="center"/>
          </w:tcPr>
          <w:p>
            <w:pPr>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75" w:type="dxa"/>
            <w:vMerge w:val="restart"/>
            <w:noWrap w:val="0"/>
            <w:vAlign w:val="center"/>
          </w:tcPr>
          <w:p>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2" w:type="dxa"/>
            <w:vMerge w:val="restart"/>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申请文件</w:t>
            </w:r>
            <w:r>
              <w:rPr>
                <w:rFonts w:hint="eastAsia" w:ascii="仿宋" w:hAnsi="仿宋" w:eastAsia="仿宋" w:cs="仿宋"/>
                <w:kern w:val="0"/>
                <w:sz w:val="21"/>
                <w:szCs w:val="21"/>
                <w:highlight w:val="none"/>
              </w:rPr>
              <w:t>签署</w:t>
            </w:r>
          </w:p>
        </w:tc>
        <w:tc>
          <w:tcPr>
            <w:tcW w:w="5409"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申请文件</w:t>
            </w:r>
            <w:r>
              <w:rPr>
                <w:rFonts w:hint="eastAsia" w:ascii="仿宋" w:hAnsi="仿宋" w:eastAsia="仿宋" w:cs="仿宋"/>
                <w:kern w:val="0"/>
                <w:sz w:val="21"/>
                <w:szCs w:val="21"/>
                <w:highlight w:val="none"/>
              </w:rPr>
              <w:t>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仿宋" w:hAnsi="仿宋" w:eastAsia="仿宋" w:cs="仿宋"/>
                <w:kern w:val="0"/>
                <w:sz w:val="21"/>
                <w:szCs w:val="21"/>
                <w:highlight w:val="none"/>
              </w:rPr>
            </w:pPr>
          </w:p>
        </w:tc>
        <w:tc>
          <w:tcPr>
            <w:tcW w:w="1562" w:type="dxa"/>
            <w:vMerge w:val="continue"/>
            <w:noWrap w:val="0"/>
            <w:vAlign w:val="center"/>
          </w:tcPr>
          <w:p>
            <w:pPr>
              <w:rPr>
                <w:rFonts w:hint="eastAsia" w:ascii="仿宋" w:hAnsi="仿宋" w:eastAsia="仿宋" w:cs="仿宋"/>
                <w:kern w:val="0"/>
                <w:sz w:val="21"/>
                <w:szCs w:val="21"/>
                <w:highlight w:val="none"/>
              </w:rPr>
            </w:pPr>
          </w:p>
        </w:tc>
        <w:tc>
          <w:tcPr>
            <w:tcW w:w="1984"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竞标方案</w:t>
            </w:r>
          </w:p>
        </w:tc>
        <w:tc>
          <w:tcPr>
            <w:tcW w:w="5409"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每个分包只能有一个方案竞标。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jc w:val="center"/>
              <w:rPr>
                <w:rFonts w:hint="eastAsia" w:ascii="仿宋" w:hAnsi="仿宋" w:eastAsia="仿宋" w:cs="仿宋"/>
                <w:kern w:val="0"/>
                <w:sz w:val="21"/>
                <w:szCs w:val="21"/>
                <w:highlight w:val="none"/>
              </w:rPr>
            </w:pPr>
          </w:p>
        </w:tc>
        <w:tc>
          <w:tcPr>
            <w:tcW w:w="1562" w:type="dxa"/>
            <w:vMerge w:val="continue"/>
            <w:noWrap w:val="0"/>
            <w:vAlign w:val="center"/>
          </w:tcPr>
          <w:p>
            <w:pPr>
              <w:rPr>
                <w:rFonts w:hint="eastAsia" w:ascii="仿宋" w:hAnsi="仿宋" w:eastAsia="仿宋" w:cs="仿宋"/>
                <w:kern w:val="0"/>
                <w:sz w:val="21"/>
                <w:szCs w:val="21"/>
                <w:highlight w:val="none"/>
              </w:rPr>
            </w:pPr>
          </w:p>
        </w:tc>
        <w:tc>
          <w:tcPr>
            <w:tcW w:w="1984"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报价唯一</w:t>
            </w:r>
          </w:p>
        </w:tc>
        <w:tc>
          <w:tcPr>
            <w:tcW w:w="5409"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2"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申请文件</w:t>
            </w:r>
            <w:r>
              <w:rPr>
                <w:rFonts w:hint="eastAsia" w:ascii="仿宋" w:hAnsi="仿宋" w:eastAsia="仿宋" w:cs="仿宋"/>
                <w:kern w:val="0"/>
                <w:sz w:val="21"/>
                <w:szCs w:val="21"/>
                <w:highlight w:val="none"/>
              </w:rPr>
              <w:t>份数</w:t>
            </w:r>
          </w:p>
        </w:tc>
        <w:tc>
          <w:tcPr>
            <w:tcW w:w="5409"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申请文件</w:t>
            </w:r>
            <w:r>
              <w:rPr>
                <w:rFonts w:hint="eastAsia" w:ascii="仿宋" w:hAnsi="仿宋" w:eastAsia="仿宋" w:cs="仿宋"/>
                <w:kern w:val="0"/>
                <w:sz w:val="21"/>
                <w:szCs w:val="21"/>
                <w:highlight w:val="none"/>
              </w:rPr>
              <w:t>文件正、副本数量（含电子文档）符合竞争性比选文件要求。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vMerge w:val="restart"/>
            <w:noWrap w:val="0"/>
            <w:vAlign w:val="center"/>
          </w:tcPr>
          <w:p>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2" w:type="dxa"/>
            <w:vMerge w:val="restart"/>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竞标</w:t>
            </w:r>
            <w:r>
              <w:rPr>
                <w:rFonts w:hint="eastAsia" w:ascii="仿宋" w:hAnsi="仿宋" w:eastAsia="仿宋" w:cs="仿宋"/>
                <w:kern w:val="0"/>
                <w:sz w:val="21"/>
                <w:szCs w:val="21"/>
                <w:highlight w:val="none"/>
              </w:rPr>
              <w:t>性审查</w:t>
            </w:r>
          </w:p>
        </w:tc>
        <w:tc>
          <w:tcPr>
            <w:tcW w:w="1984"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eastAsia="zh-CN"/>
              </w:rPr>
              <w:t>申请文件</w:t>
            </w:r>
            <w:r>
              <w:rPr>
                <w:rFonts w:hint="eastAsia" w:ascii="仿宋" w:hAnsi="仿宋" w:eastAsia="仿宋" w:cs="仿宋"/>
                <w:kern w:val="0"/>
                <w:sz w:val="21"/>
                <w:szCs w:val="21"/>
                <w:highlight w:val="none"/>
              </w:rPr>
              <w:t>内容</w:t>
            </w:r>
          </w:p>
        </w:tc>
        <w:tc>
          <w:tcPr>
            <w:tcW w:w="5409" w:type="dxa"/>
            <w:noWrap w:val="0"/>
            <w:vAlign w:val="center"/>
          </w:tcPr>
          <w:p>
            <w:pP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满足竞争性比选文件</w:t>
            </w:r>
            <w:r>
              <w:rPr>
                <w:rFonts w:hint="eastAsia" w:ascii="仿宋" w:hAnsi="仿宋" w:eastAsia="仿宋" w:cs="仿宋"/>
                <w:kern w:val="0"/>
                <w:sz w:val="21"/>
                <w:szCs w:val="21"/>
                <w:highlight w:val="none"/>
                <w:lang w:val="en-US" w:eastAsia="zh-CN"/>
              </w:rPr>
              <w:t>第二篇以及</w:t>
            </w:r>
            <w:r>
              <w:rPr>
                <w:rFonts w:hint="eastAsia" w:ascii="仿宋" w:hAnsi="仿宋" w:eastAsia="仿宋" w:cs="仿宋"/>
                <w:kern w:val="0"/>
                <w:sz w:val="21"/>
                <w:szCs w:val="21"/>
                <w:highlight w:val="none"/>
              </w:rPr>
              <w:t>第三篇中</w:t>
            </w:r>
            <w:r>
              <w:rPr>
                <w:rFonts w:hint="eastAsia" w:ascii="仿宋" w:hAnsi="仿宋" w:eastAsia="仿宋" w:cs="仿宋"/>
                <w:kern w:val="0"/>
                <w:sz w:val="21"/>
                <w:szCs w:val="21"/>
                <w:highlight w:val="none"/>
                <w:lang w:val="en-US" w:eastAsia="zh-CN"/>
              </w:rPr>
              <w:t>第一至四条。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75" w:type="dxa"/>
            <w:vMerge w:val="continue"/>
            <w:noWrap w:val="0"/>
            <w:vAlign w:val="center"/>
          </w:tcPr>
          <w:p>
            <w:pPr>
              <w:jc w:val="center"/>
              <w:rPr>
                <w:rFonts w:hint="eastAsia" w:ascii="仿宋" w:hAnsi="仿宋" w:eastAsia="仿宋" w:cs="仿宋"/>
                <w:kern w:val="0"/>
                <w:sz w:val="21"/>
                <w:szCs w:val="21"/>
                <w:highlight w:val="none"/>
              </w:rPr>
            </w:pPr>
          </w:p>
        </w:tc>
        <w:tc>
          <w:tcPr>
            <w:tcW w:w="1562" w:type="dxa"/>
            <w:vMerge w:val="continue"/>
            <w:noWrap w:val="0"/>
            <w:vAlign w:val="center"/>
          </w:tcPr>
          <w:p>
            <w:pPr>
              <w:rPr>
                <w:rFonts w:hint="eastAsia" w:ascii="仿宋" w:hAnsi="仿宋" w:eastAsia="仿宋" w:cs="仿宋"/>
                <w:kern w:val="0"/>
                <w:sz w:val="21"/>
                <w:szCs w:val="21"/>
                <w:highlight w:val="none"/>
              </w:rPr>
            </w:pPr>
          </w:p>
        </w:tc>
        <w:tc>
          <w:tcPr>
            <w:tcW w:w="1984"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竞标有效期</w:t>
            </w:r>
          </w:p>
        </w:tc>
        <w:tc>
          <w:tcPr>
            <w:tcW w:w="5409" w:type="dxa"/>
            <w:noWrap w:val="0"/>
            <w:vAlign w:val="center"/>
          </w:tcPr>
          <w:p>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满足竞争性比选文件规定</w:t>
            </w:r>
          </w:p>
        </w:tc>
      </w:tr>
    </w:tbl>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3.澄清有关问题。对</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中含义不明确、同类问题表述不一致或者有明显文字和计算错误的内容，评审小组可以书面形式（应当由评审小组成员签字）要求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作出必要澄清、说明或者纠正。</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的澄清、说明或者补正应当采用书面形式，由其法定代表人授权代表签字，其澄清的内容不得超出</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的范围或者改变</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的实质性内容。</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4.比较与评价。按竞争性比选文件中规定的评标方法和标准，对资格性检查和符合性检查合格的</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进行价格、商务和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评估。</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评审小组各成员独立对每个有效</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进行评价、打分，然后由评审组长组织评审小组对各成员打分情况进行核查及复核，个别成员对同一</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同一评分项的打分偏离较大的，应对</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进行再次核对，确属打分有误的，应及时进行修正。</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复核后，评审小组汇总每个</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每项评分因素的得分。</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5.推荐</w:t>
      </w:r>
      <w:r>
        <w:rPr>
          <w:rFonts w:hint="eastAsia" w:ascii="仿宋" w:hAnsi="仿宋" w:eastAsia="仿宋" w:cs="仿宋"/>
          <w:sz w:val="24"/>
          <w:szCs w:val="24"/>
          <w:highlight w:val="none"/>
          <w:lang w:eastAsia="zh-CN"/>
        </w:rPr>
        <w:t>中选</w:t>
      </w:r>
      <w:r>
        <w:rPr>
          <w:rFonts w:hint="eastAsia" w:ascii="仿宋" w:hAnsi="仿宋" w:eastAsia="仿宋" w:cs="仿宋"/>
          <w:sz w:val="24"/>
          <w:szCs w:val="24"/>
          <w:highlight w:val="none"/>
        </w:rPr>
        <w:t>候选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名单。按评审后得分由高到低的排列顺序推荐综合得分排名前三的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为本项目</w:t>
      </w:r>
      <w:r>
        <w:rPr>
          <w:rFonts w:hint="eastAsia" w:ascii="仿宋" w:hAnsi="仿宋" w:eastAsia="仿宋" w:cs="仿宋"/>
          <w:sz w:val="24"/>
          <w:szCs w:val="24"/>
          <w:highlight w:val="none"/>
          <w:lang w:eastAsia="zh-CN"/>
        </w:rPr>
        <w:t>中选</w:t>
      </w:r>
      <w:r>
        <w:rPr>
          <w:rFonts w:hint="eastAsia" w:ascii="仿宋" w:hAnsi="仿宋" w:eastAsia="仿宋" w:cs="仿宋"/>
          <w:sz w:val="24"/>
          <w:szCs w:val="24"/>
          <w:highlight w:val="none"/>
        </w:rPr>
        <w:t>候选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（推荐三名），排名第一的为第一</w:t>
      </w:r>
      <w:r>
        <w:rPr>
          <w:rFonts w:hint="eastAsia" w:ascii="仿宋" w:hAnsi="仿宋" w:eastAsia="仿宋" w:cs="仿宋"/>
          <w:sz w:val="24"/>
          <w:szCs w:val="24"/>
          <w:highlight w:val="none"/>
          <w:lang w:eastAsia="zh-CN"/>
        </w:rPr>
        <w:t>中选</w:t>
      </w:r>
      <w:r>
        <w:rPr>
          <w:rFonts w:hint="eastAsia" w:ascii="仿宋" w:hAnsi="仿宋" w:eastAsia="仿宋" w:cs="仿宋"/>
          <w:sz w:val="24"/>
          <w:szCs w:val="24"/>
          <w:highlight w:val="none"/>
        </w:rPr>
        <w:t>候选</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。若综合得分相同的，按竞标报价由低到高顺序排列；若综合得分且竞标报价相同的，按技术部分评分由高到低顺序排列；若综合得分、竞标报价、</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部分均相同的，由</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在比选现场以随机抽取一家的方式确定</w:t>
      </w:r>
      <w:r>
        <w:rPr>
          <w:rFonts w:hint="eastAsia" w:ascii="仿宋" w:hAnsi="仿宋" w:eastAsia="仿宋" w:cs="仿宋"/>
          <w:sz w:val="24"/>
          <w:szCs w:val="24"/>
          <w:highlight w:val="none"/>
          <w:lang w:eastAsia="zh-CN"/>
        </w:rPr>
        <w:t>中选人</w:t>
      </w:r>
      <w:r>
        <w:rPr>
          <w:rFonts w:hint="eastAsia" w:ascii="仿宋" w:hAnsi="仿宋" w:eastAsia="仿宋" w:cs="仿宋"/>
          <w:sz w:val="24"/>
          <w:szCs w:val="24"/>
          <w:highlight w:val="none"/>
        </w:rPr>
        <w:t>。</w:t>
      </w:r>
    </w:p>
    <w:p>
      <w:pPr>
        <w:pStyle w:val="4"/>
        <w:spacing w:line="400" w:lineRule="exact"/>
        <w:ind w:firstLine="482" w:firstLineChars="200"/>
        <w:rPr>
          <w:rFonts w:hint="eastAsia" w:ascii="仿宋" w:hAnsi="仿宋" w:eastAsia="仿宋" w:cs="仿宋"/>
          <w:b/>
          <w:sz w:val="24"/>
          <w:szCs w:val="24"/>
          <w:highlight w:val="none"/>
        </w:rPr>
      </w:pPr>
      <w:bookmarkStart w:id="37" w:name="_Toc19084"/>
      <w:bookmarkStart w:id="38" w:name="_Toc492721017"/>
      <w:bookmarkStart w:id="39" w:name="_Toc267320057"/>
      <w:r>
        <w:rPr>
          <w:rFonts w:hint="eastAsia" w:ascii="仿宋" w:hAnsi="仿宋" w:eastAsia="仿宋" w:cs="仿宋"/>
          <w:b/>
          <w:sz w:val="24"/>
          <w:szCs w:val="24"/>
          <w:highlight w:val="none"/>
        </w:rPr>
        <w:t>二、评标标准</w:t>
      </w:r>
      <w:bookmarkEnd w:id="37"/>
      <w:bookmarkEnd w:id="38"/>
      <w:bookmarkEnd w:id="39"/>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（一）评审因素</w:t>
      </w:r>
    </w:p>
    <w:tbl>
      <w:tblPr>
        <w:tblStyle w:val="1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091"/>
        <w:gridCol w:w="887"/>
        <w:gridCol w:w="4851"/>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 w:type="pct"/>
            <w:noWrap w:val="0"/>
            <w:vAlign w:val="center"/>
          </w:tcPr>
          <w:p>
            <w:pPr>
              <w:snapToGrid w:val="0"/>
              <w:ind w:firstLine="28"/>
              <w:jc w:val="center"/>
              <w:rPr>
                <w:rFonts w:hint="eastAsia" w:ascii="仿宋" w:hAnsi="仿宋" w:eastAsia="仿宋" w:cs="仿宋"/>
                <w:b/>
                <w:sz w:val="21"/>
                <w:szCs w:val="21"/>
                <w:highlight w:val="none"/>
              </w:rPr>
            </w:pPr>
            <w:bookmarkStart w:id="40" w:name="_Toc21494"/>
            <w:bookmarkStart w:id="41" w:name="_Toc30341"/>
            <w:bookmarkStart w:id="42" w:name="_Toc454"/>
            <w:bookmarkStart w:id="43" w:name="_Toc30520"/>
            <w:bookmarkStart w:id="44" w:name="_Toc1821"/>
            <w:bookmarkStart w:id="45" w:name="_Toc1509"/>
            <w:bookmarkStart w:id="46" w:name="_Toc18346"/>
            <w:bookmarkStart w:id="47" w:name="_Toc5041"/>
            <w:bookmarkStart w:id="48" w:name="_Toc18440"/>
            <w:bookmarkStart w:id="49" w:name="_Toc24178"/>
            <w:bookmarkStart w:id="50" w:name="_Toc21742"/>
            <w:bookmarkStart w:id="51" w:name="_Toc28136"/>
            <w:bookmarkStart w:id="52" w:name="_Toc9049"/>
            <w:bookmarkStart w:id="53" w:name="_Toc955"/>
            <w:bookmarkStart w:id="54" w:name="_Toc21745"/>
            <w:bookmarkStart w:id="55" w:name="_Toc5884"/>
            <w:bookmarkStart w:id="56" w:name="_Toc19541"/>
            <w:bookmarkStart w:id="57" w:name="_Toc19854"/>
            <w:bookmarkStart w:id="58" w:name="_Toc29955"/>
            <w:bookmarkStart w:id="59" w:name="_Toc45"/>
            <w:bookmarkStart w:id="60" w:name="_Toc21146"/>
            <w:bookmarkStart w:id="61" w:name="_Toc5846"/>
            <w:bookmarkStart w:id="62" w:name="_Toc19819"/>
            <w:bookmarkStart w:id="63" w:name="_Toc22330"/>
            <w:bookmarkStart w:id="64" w:name="_Toc2826"/>
            <w:bookmarkStart w:id="65" w:name="_Toc27388"/>
            <w:bookmarkStart w:id="66" w:name="_Toc25220"/>
            <w:bookmarkStart w:id="67" w:name="_Toc31644"/>
            <w:bookmarkStart w:id="68" w:name="_Toc342913394"/>
            <w:bookmarkStart w:id="69" w:name="_Toc102227320"/>
            <w:bookmarkStart w:id="70" w:name="_Toc492721019"/>
            <w:r>
              <w:rPr>
                <w:rFonts w:hint="eastAsia" w:ascii="仿宋" w:hAnsi="仿宋" w:eastAsia="仿宋" w:cs="仿宋"/>
                <w:b/>
                <w:sz w:val="21"/>
                <w:szCs w:val="21"/>
                <w:highlight w:val="none"/>
              </w:rPr>
              <w:t>序号</w:t>
            </w:r>
          </w:p>
        </w:tc>
        <w:tc>
          <w:tcPr>
            <w:tcW w:w="567" w:type="pct"/>
            <w:noWrap w:val="0"/>
            <w:vAlign w:val="center"/>
          </w:tcPr>
          <w:p>
            <w:pPr>
              <w:snapToGrid w:val="0"/>
              <w:ind w:firstLine="28"/>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评分因素及权重</w:t>
            </w:r>
          </w:p>
        </w:tc>
        <w:tc>
          <w:tcPr>
            <w:tcW w:w="461" w:type="pct"/>
            <w:noWrap w:val="0"/>
            <w:vAlign w:val="center"/>
          </w:tcPr>
          <w:p>
            <w:pPr>
              <w:snapToGrid w:val="0"/>
              <w:ind w:firstLine="28"/>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2521" w:type="pct"/>
            <w:noWrap w:val="0"/>
            <w:vAlign w:val="center"/>
          </w:tcPr>
          <w:p>
            <w:pPr>
              <w:snapToGrid w:val="0"/>
              <w:ind w:firstLine="28"/>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评分标准</w:t>
            </w:r>
          </w:p>
        </w:tc>
        <w:tc>
          <w:tcPr>
            <w:tcW w:w="1149" w:type="pct"/>
            <w:noWrap w:val="0"/>
            <w:vAlign w:val="center"/>
          </w:tcPr>
          <w:p>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 w:type="pct"/>
            <w:noWrap w:val="0"/>
            <w:vAlign w:val="center"/>
          </w:tcPr>
          <w:p>
            <w:pPr>
              <w:snapToGrid w:val="0"/>
              <w:ind w:firstLine="28"/>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567" w:type="pct"/>
            <w:noWrap w:val="0"/>
            <w:vAlign w:val="center"/>
          </w:tcPr>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报价</w:t>
            </w:r>
          </w:p>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p>
        </w:tc>
        <w:tc>
          <w:tcPr>
            <w:tcW w:w="461" w:type="pct"/>
            <w:noWrap w:val="0"/>
            <w:vAlign w:val="center"/>
          </w:tcPr>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报价</w:t>
            </w:r>
          </w:p>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分）</w:t>
            </w:r>
          </w:p>
        </w:tc>
        <w:tc>
          <w:tcPr>
            <w:tcW w:w="2521" w:type="pct"/>
            <w:noWrap w:val="0"/>
            <w:vAlign w:val="center"/>
          </w:tcPr>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有效的竞标报价中的最低报价为评审基准价，其价格分为满分。其他供应商的价格分统一按照下列公式计算：</w:t>
            </w:r>
          </w:p>
          <w:p>
            <w:pPr>
              <w:pStyle w:val="21"/>
              <w:spacing w:line="240" w:lineRule="auto"/>
              <w:ind w:firstLine="28" w:firstLineChars="0"/>
              <w:jc w:val="left"/>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lang w:val="en-US" w:eastAsia="zh-CN" w:bidi="ar"/>
              </w:rPr>
              <w:t>竞标报价得分＝（评审基准价/竞标报价）×价格权重×100。</w:t>
            </w:r>
          </w:p>
        </w:tc>
        <w:tc>
          <w:tcPr>
            <w:tcW w:w="1149" w:type="pct"/>
            <w:noWrap w:val="0"/>
            <w:vAlign w:val="center"/>
          </w:tcPr>
          <w:p>
            <w:pPr>
              <w:pStyle w:val="21"/>
              <w:spacing w:line="240" w:lineRule="auto"/>
              <w:ind w:firstLine="28" w:firstLineChars="0"/>
              <w:jc w:val="left"/>
              <w:rPr>
                <w:rFonts w:hint="eastAsia" w:ascii="仿宋" w:hAnsi="仿宋" w:eastAsia="仿宋" w:cs="仿宋"/>
                <w:kern w:val="0"/>
                <w:sz w:val="21"/>
                <w:szCs w:val="21"/>
                <w:highlight w:val="none"/>
              </w:rPr>
            </w:pPr>
            <w:r>
              <w:rPr>
                <w:rStyle w:val="22"/>
                <w:rFonts w:hint="eastAsia" w:ascii="仿宋" w:hAnsi="仿宋" w:eastAsia="仿宋" w:cs="仿宋"/>
                <w:color w:val="auto"/>
                <w:sz w:val="21"/>
                <w:szCs w:val="21"/>
                <w:highlight w:val="none"/>
                <w:u w:val="none" w:color="FF0000"/>
                <w:lang w:val="en-US" w:eastAsia="zh-CN"/>
              </w:rPr>
              <w:t>通过资格性检查和符合性检查的</w:t>
            </w:r>
            <w:r>
              <w:rPr>
                <w:rFonts w:hint="eastAsia" w:ascii="仿宋" w:hAnsi="仿宋" w:eastAsia="仿宋" w:cs="仿宋"/>
                <w:color w:val="auto"/>
                <w:sz w:val="21"/>
                <w:szCs w:val="21"/>
                <w:highlight w:val="none"/>
                <w:lang w:val="en-US" w:eastAsia="zh-CN" w:bidi="ar"/>
              </w:rPr>
              <w:t>供应商</w:t>
            </w:r>
            <w:r>
              <w:rPr>
                <w:rStyle w:val="22"/>
                <w:rFonts w:hint="eastAsia" w:ascii="仿宋" w:hAnsi="仿宋" w:eastAsia="仿宋" w:cs="仿宋"/>
                <w:color w:val="auto"/>
                <w:sz w:val="21"/>
                <w:szCs w:val="21"/>
                <w:highlight w:val="none"/>
                <w:u w:val="none" w:color="FF0000"/>
                <w:lang w:val="en-US" w:eastAsia="zh-CN"/>
              </w:rPr>
              <w:t>的竞标报价参与评分。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99" w:type="pct"/>
            <w:noWrap w:val="0"/>
            <w:vAlign w:val="center"/>
          </w:tcPr>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567" w:type="pct"/>
            <w:noWrap w:val="0"/>
            <w:vAlign w:val="center"/>
          </w:tcPr>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服务部分</w:t>
            </w:r>
          </w:p>
          <w:p>
            <w:pPr>
              <w:snapToGrid w:val="0"/>
              <w:ind w:firstLine="2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w:t>
            </w:r>
          </w:p>
        </w:tc>
        <w:tc>
          <w:tcPr>
            <w:tcW w:w="461" w:type="pct"/>
            <w:noWrap w:val="0"/>
            <w:vAlign w:val="center"/>
          </w:tcPr>
          <w:p>
            <w:pPr>
              <w:jc w:val="center"/>
              <w:rPr>
                <w:rFonts w:hint="eastAsia" w:ascii="仿宋" w:hAnsi="仿宋" w:eastAsia="仿宋" w:cs="仿宋"/>
                <w:sz w:val="21"/>
                <w:szCs w:val="21"/>
                <w:highlight w:val="none"/>
              </w:rPr>
            </w:pPr>
            <w:bookmarkStart w:id="71" w:name="_Hlk202820563"/>
            <w:r>
              <w:rPr>
                <w:rFonts w:hint="eastAsia" w:ascii="仿宋" w:hAnsi="仿宋" w:eastAsia="仿宋" w:cs="仿宋"/>
                <w:sz w:val="21"/>
                <w:szCs w:val="21"/>
                <w:highlight w:val="none"/>
              </w:rPr>
              <w:t>服务方案</w:t>
            </w:r>
            <w:bookmarkEnd w:id="71"/>
          </w:p>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0分）</w:t>
            </w:r>
          </w:p>
        </w:tc>
        <w:tc>
          <w:tcPr>
            <w:tcW w:w="2521" w:type="pct"/>
            <w:noWrap w:val="0"/>
            <w:vAlign w:val="center"/>
          </w:tcPr>
          <w:p>
            <w:pPr>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1.组织架构方案（16分）</w:t>
            </w:r>
            <w:r>
              <w:rPr>
                <w:rFonts w:hint="eastAsia" w:ascii="仿宋" w:hAnsi="仿宋" w:eastAsia="仿宋" w:cs="仿宋"/>
                <w:sz w:val="21"/>
                <w:szCs w:val="21"/>
                <w:highlight w:val="none"/>
              </w:rPr>
              <w:t>有明确合理的组织机构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有充足的</w:t>
            </w:r>
            <w:r>
              <w:rPr>
                <w:rFonts w:hint="eastAsia" w:ascii="仿宋" w:hAnsi="仿宋" w:eastAsia="仿宋" w:cs="仿宋"/>
                <w:sz w:val="21"/>
                <w:szCs w:val="21"/>
                <w:highlight w:val="none"/>
              </w:rPr>
              <w:t>人员</w:t>
            </w:r>
            <w:r>
              <w:rPr>
                <w:rFonts w:hint="eastAsia" w:ascii="仿宋" w:hAnsi="仿宋" w:eastAsia="仿宋" w:cs="仿宋"/>
                <w:sz w:val="21"/>
                <w:szCs w:val="21"/>
                <w:highlight w:val="none"/>
                <w:lang w:val="en-US" w:eastAsia="zh-CN"/>
              </w:rPr>
              <w:t>配置</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有明确主要岗位分配及各污水处理厂人员配置情况；已建立在线监测系统运行维护相关管理制度，如：岗位人员责任制、维护规程、仪器故障处理工作流程、安全制度、异常情况处置制度等管理制度健全、切合实际、有效可行。</w:t>
            </w:r>
          </w:p>
          <w:p>
            <w:pPr>
              <w:adjustRightInd w:val="0"/>
              <w:snapToGrid w:val="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每存在一项瑕疵扣2分，扣完为止。</w:t>
            </w:r>
          </w:p>
          <w:p>
            <w:pPr>
              <w:pStyle w:val="2"/>
              <w:rPr>
                <w:rFonts w:hint="eastAsia"/>
                <w:highlight w:val="none"/>
              </w:rPr>
            </w:pPr>
          </w:p>
          <w:p>
            <w:pPr>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2.运维方案（18分）（1）运维内容；（2）运维目标；（3）运维流程；（4）有</w:t>
            </w:r>
            <w:r>
              <w:rPr>
                <w:rFonts w:hint="eastAsia" w:ascii="仿宋" w:hAnsi="仿宋" w:eastAsia="仿宋" w:cs="仿宋"/>
                <w:sz w:val="21"/>
                <w:szCs w:val="21"/>
                <w:highlight w:val="none"/>
              </w:rPr>
              <w:t>必要的耗材</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有</w:t>
            </w:r>
            <w:r>
              <w:rPr>
                <w:rFonts w:hint="eastAsia" w:ascii="仿宋" w:hAnsi="仿宋" w:eastAsia="仿宋" w:cs="仿宋"/>
                <w:sz w:val="21"/>
                <w:szCs w:val="21"/>
                <w:highlight w:val="none"/>
              </w:rPr>
              <w:t>完备的实验室</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有充足的车辆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要求：运维内容、目标和流程应</w:t>
            </w:r>
            <w:r>
              <w:rPr>
                <w:rFonts w:hint="eastAsia" w:ascii="仿宋" w:hAnsi="仿宋" w:eastAsia="仿宋" w:cs="仿宋"/>
                <w:sz w:val="21"/>
                <w:szCs w:val="21"/>
                <w:highlight w:val="none"/>
              </w:rPr>
              <w:t>全面细致，满足HJ 355-2019等现行标准规范及我市地方管理规定。</w:t>
            </w:r>
            <w:r>
              <w:rPr>
                <w:rFonts w:hint="eastAsia" w:ascii="仿宋" w:hAnsi="仿宋" w:eastAsia="仿宋" w:cs="仿宋"/>
                <w:sz w:val="21"/>
                <w:szCs w:val="21"/>
                <w:highlight w:val="none"/>
                <w:lang w:val="en-US" w:eastAsia="zh-CN"/>
              </w:rPr>
              <w:t>4-6项</w:t>
            </w:r>
            <w:r>
              <w:rPr>
                <w:rFonts w:hint="eastAsia" w:ascii="仿宋" w:hAnsi="仿宋" w:eastAsia="仿宋" w:cs="仿宋"/>
                <w:sz w:val="21"/>
                <w:szCs w:val="21"/>
                <w:highlight w:val="none"/>
              </w:rPr>
              <w:t>应提供对应照片等资料</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未提供不得分。</w:t>
            </w:r>
          </w:p>
          <w:p>
            <w:pPr>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每存在一项瑕疵扣3分，扣完为止。</w:t>
            </w:r>
          </w:p>
          <w:p>
            <w:pPr>
              <w:snapToGrid w:val="0"/>
              <w:rPr>
                <w:rFonts w:hint="eastAsia" w:ascii="仿宋" w:hAnsi="仿宋" w:eastAsia="仿宋" w:cs="仿宋"/>
                <w:sz w:val="21"/>
                <w:szCs w:val="21"/>
                <w:highlight w:val="none"/>
              </w:rPr>
            </w:pPr>
          </w:p>
          <w:p>
            <w:pPr>
              <w:rPr>
                <w:highlight w:val="none"/>
              </w:rPr>
            </w:pPr>
          </w:p>
          <w:p>
            <w:pPr>
              <w:rPr>
                <w:highlight w:val="none"/>
              </w:rPr>
            </w:pPr>
            <w:r>
              <w:rPr>
                <w:rFonts w:hint="eastAsia" w:ascii="仿宋" w:hAnsi="仿宋" w:eastAsia="仿宋" w:cs="仿宋"/>
                <w:kern w:val="2"/>
                <w:sz w:val="21"/>
                <w:szCs w:val="21"/>
                <w:highlight w:val="none"/>
                <w:lang w:val="en-US" w:eastAsia="zh-CN" w:bidi="ar-SA"/>
              </w:rPr>
              <w:t>3.</w:t>
            </w:r>
          </w:p>
          <w:p>
            <w:pPr>
              <w:numPr>
                <w:ilvl w:val="0"/>
                <w:numId w:val="0"/>
              </w:numPr>
              <w:snapToGrid w:val="0"/>
              <w:rPr>
                <w:rFonts w:hint="eastAsia" w:ascii="仿宋" w:hAnsi="仿宋" w:eastAsia="仿宋" w:cs="仿宋"/>
                <w:sz w:val="21"/>
                <w:szCs w:val="21"/>
                <w:highlight w:val="none"/>
              </w:rPr>
            </w:pPr>
            <w:r>
              <w:rPr>
                <w:rFonts w:hint="eastAsia" w:ascii="仿宋" w:hAnsi="仿宋" w:eastAsia="仿宋" w:cs="仿宋"/>
                <w:kern w:val="2"/>
                <w:sz w:val="21"/>
                <w:szCs w:val="21"/>
                <w:highlight w:val="none"/>
                <w:lang w:val="en-US" w:eastAsia="zh-CN" w:bidi="ar-SA"/>
              </w:rPr>
              <w:t>应急预案（6分）</w:t>
            </w:r>
            <w:r>
              <w:rPr>
                <w:rFonts w:hint="eastAsia" w:ascii="仿宋" w:hAnsi="仿宋" w:eastAsia="仿宋" w:cs="仿宋"/>
                <w:sz w:val="21"/>
                <w:szCs w:val="21"/>
                <w:highlight w:val="none"/>
              </w:rPr>
              <w:t>制定在线监测运维服务应急预案</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制定意外事故应急机制和紧急处理预案</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要求：</w:t>
            </w:r>
            <w:r>
              <w:rPr>
                <w:rFonts w:hint="eastAsia" w:ascii="仿宋" w:hAnsi="仿宋" w:eastAsia="仿宋" w:cs="仿宋"/>
                <w:sz w:val="21"/>
                <w:szCs w:val="21"/>
                <w:highlight w:val="none"/>
              </w:rPr>
              <w:t>应急预案和应急机制健全、切合实际、管理有效</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风险防控措施得当。</w:t>
            </w:r>
          </w:p>
          <w:p>
            <w:pPr>
              <w:pStyle w:val="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每存在一项瑕疵扣2分，扣完为止。</w:t>
            </w:r>
          </w:p>
        </w:tc>
        <w:tc>
          <w:tcPr>
            <w:tcW w:w="1149" w:type="pct"/>
            <w:noWrap w:val="0"/>
            <w:vAlign w:val="center"/>
          </w:tcPr>
          <w:p>
            <w:pPr>
              <w:rPr>
                <w:rFonts w:hint="eastAsia" w:ascii="仿宋" w:hAnsi="仿宋" w:eastAsia="仿宋" w:cs="仿宋"/>
                <w:color w:val="auto"/>
                <w:sz w:val="21"/>
                <w:szCs w:val="21"/>
                <w:highlight w:val="none"/>
                <w:lang w:val="en-US" w:eastAsia="zh-CN" w:bidi="ar"/>
              </w:rPr>
            </w:pPr>
            <w:bookmarkStart w:id="72" w:name="_Hlk202820586"/>
            <w:r>
              <w:rPr>
                <w:rFonts w:hint="eastAsia" w:ascii="仿宋" w:hAnsi="仿宋" w:eastAsia="仿宋" w:cs="仿宋"/>
                <w:sz w:val="21"/>
                <w:szCs w:val="21"/>
                <w:highlight w:val="none"/>
                <w:lang w:val="en-US" w:eastAsia="zh-CN"/>
              </w:rPr>
              <w:t xml:space="preserve">  </w:t>
            </w:r>
            <w:bookmarkEnd w:id="72"/>
            <w:r>
              <w:rPr>
                <w:rFonts w:hint="eastAsia" w:ascii="仿宋" w:hAnsi="仿宋" w:eastAsia="仿宋" w:cs="仿宋"/>
                <w:sz w:val="21"/>
                <w:szCs w:val="21"/>
                <w:highlight w:val="none"/>
                <w:lang w:val="en-US" w:eastAsia="zh-CN"/>
              </w:rPr>
              <w:t xml:space="preserve"> </w:t>
            </w:r>
            <w:r>
              <w:rPr>
                <w:rFonts w:hint="eastAsia" w:ascii="仿宋" w:hAnsi="仿宋" w:eastAsia="仿宋" w:cs="仿宋"/>
                <w:color w:val="auto"/>
                <w:sz w:val="21"/>
                <w:szCs w:val="21"/>
                <w:highlight w:val="none"/>
                <w:lang w:val="en-US" w:eastAsia="zh-CN" w:bidi="ar"/>
              </w:rPr>
              <w:t>说明:方案内容中所称的“瑕疵 ”指下述任意一种情形：</w:t>
            </w:r>
          </w:p>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①内容缺少针对性的理解与分析，对关键点或重点难点缺少分析说明；</w:t>
            </w:r>
          </w:p>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②内容表述前后矛盾、无连贯性、 内容存在逻辑漏洞；</w:t>
            </w:r>
          </w:p>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③人员安排不合理，专业人员安排不恰当，岗位职责不清；</w:t>
            </w:r>
          </w:p>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④措施不全面，或措施不当，不适用本项目或不利于本项目需求的实现；</w:t>
            </w:r>
          </w:p>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⑤方案非专门针对本项目制定；</w:t>
            </w:r>
          </w:p>
          <w:p>
            <w:pP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⑥方案缺项。</w:t>
            </w:r>
          </w:p>
          <w:p>
            <w:pPr>
              <w:snapToGrid w:val="0"/>
              <w:rPr>
                <w:rFonts w:hint="eastAsia" w:ascii="仿宋" w:hAnsi="仿宋" w:eastAsia="仿宋" w:cs="仿宋"/>
                <w:sz w:val="21"/>
                <w:szCs w:val="21"/>
                <w:highlight w:val="none"/>
                <w:lang w:eastAsia="zh-CN"/>
              </w:rPr>
            </w:pPr>
            <w:r>
              <w:rPr>
                <w:rFonts w:hint="eastAsia" w:ascii="仿宋" w:hAnsi="仿宋" w:eastAsia="仿宋" w:cs="仿宋"/>
                <w:color w:val="auto"/>
                <w:sz w:val="21"/>
                <w:szCs w:val="21"/>
                <w:highlight w:val="none"/>
                <w:lang w:val="en-US" w:eastAsia="zh-CN" w:bidi="ar"/>
              </w:rPr>
              <w:t>上述任意一种情形为 1 处瑕疵。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99" w:type="pct"/>
            <w:vMerge w:val="restart"/>
            <w:noWrap w:val="0"/>
            <w:vAlign w:val="center"/>
          </w:tcPr>
          <w:p>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567" w:type="pct"/>
            <w:vMerge w:val="restart"/>
            <w:noWrap w:val="0"/>
            <w:vAlign w:val="center"/>
          </w:tcPr>
          <w:p>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商务部分（</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rPr>
              <w:t>%）</w:t>
            </w:r>
          </w:p>
        </w:tc>
        <w:tc>
          <w:tcPr>
            <w:tcW w:w="461" w:type="pct"/>
            <w:tcBorders>
              <w:top w:val="single" w:color="auto" w:sz="4" w:space="0"/>
              <w:left w:val="single" w:color="auto" w:sz="4" w:space="0"/>
              <w:bottom w:val="single" w:color="auto" w:sz="4" w:space="0"/>
            </w:tcBorders>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企业实力</w:t>
            </w:r>
          </w:p>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0分）</w:t>
            </w:r>
          </w:p>
        </w:tc>
        <w:tc>
          <w:tcPr>
            <w:tcW w:w="2521" w:type="pct"/>
            <w:tcBorders>
              <w:top w:val="single" w:color="auto" w:sz="4" w:space="0"/>
              <w:left w:val="single" w:color="auto" w:sz="4" w:space="0"/>
              <w:bottom w:val="single" w:color="auto" w:sz="4" w:space="0"/>
            </w:tcBorders>
            <w:noWrap w:val="0"/>
            <w:vAlign w:val="center"/>
          </w:tcPr>
          <w:p>
            <w:pPr>
              <w:numPr>
                <w:ilvl w:val="0"/>
                <w:numId w:val="0"/>
              </w:numPr>
              <w:snapToGrid w:val="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1.供应商具备环境污染治理服务能力评价证书（自动连续监测）水类证书，提供证书一级得8分，二级得5分、三级得2分，未提供不得分。</w:t>
            </w:r>
          </w:p>
          <w:p>
            <w:pPr>
              <w:numPr>
                <w:ilvl w:val="0"/>
                <w:numId w:val="0"/>
              </w:numPr>
              <w:snapToGrid w:val="0"/>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lang w:val="en-US" w:eastAsia="zh-CN"/>
              </w:rPr>
              <w:t>2.供应商具备省部级相关部门颁发的高新技术企业证书，提供证书得2分，未提供不得分。</w:t>
            </w:r>
          </w:p>
        </w:tc>
        <w:tc>
          <w:tcPr>
            <w:tcW w:w="1149" w:type="pct"/>
            <w:tcBorders>
              <w:top w:val="single" w:color="auto" w:sz="4" w:space="0"/>
              <w:left w:val="single" w:color="auto" w:sz="4" w:space="0"/>
              <w:bottom w:val="single" w:color="auto" w:sz="4" w:space="0"/>
            </w:tcBorders>
            <w:noWrap w:val="0"/>
            <w:vAlign w:val="center"/>
          </w:tcPr>
          <w:p>
            <w:pPr>
              <w:spacing w:line="240" w:lineRule="atLeast"/>
              <w:jc w:val="center"/>
              <w:rPr>
                <w:rFonts w:hint="eastAsia" w:ascii="仿宋" w:hAnsi="仿宋" w:eastAsia="仿宋" w:cs="仿宋"/>
                <w:sz w:val="21"/>
                <w:szCs w:val="21"/>
                <w:highlight w:val="none"/>
                <w:lang w:val="zh-CN" w:eastAsia="zh-CN"/>
              </w:rPr>
            </w:pPr>
            <w:r>
              <w:rPr>
                <w:rFonts w:hint="eastAsia" w:ascii="仿宋" w:hAnsi="仿宋" w:eastAsia="仿宋" w:cs="仿宋"/>
                <w:color w:val="auto"/>
                <w:sz w:val="21"/>
                <w:szCs w:val="21"/>
                <w:highlight w:val="none"/>
                <w:shd w:val="clear" w:color="auto" w:fill="auto"/>
                <w:lang w:val="en-US" w:eastAsia="zh-CN"/>
              </w:rPr>
              <w:t>提供有效期内证书复印件加盖供应商公章。</w:t>
            </w:r>
            <w:r>
              <w:rPr>
                <w:rFonts w:hint="eastAsia" w:ascii="仿宋" w:hAnsi="仿宋" w:eastAsia="仿宋" w:cs="仿宋"/>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99" w:type="pct"/>
            <w:vMerge w:val="continue"/>
            <w:noWrap w:val="0"/>
            <w:vAlign w:val="center"/>
          </w:tcPr>
          <w:p>
            <w:pPr>
              <w:snapToGrid w:val="0"/>
              <w:rPr>
                <w:rFonts w:hint="eastAsia" w:ascii="仿宋" w:hAnsi="仿宋" w:eastAsia="仿宋" w:cs="仿宋"/>
                <w:sz w:val="21"/>
                <w:szCs w:val="21"/>
                <w:highlight w:val="none"/>
              </w:rPr>
            </w:pPr>
            <w:bookmarkStart w:id="73" w:name="_Hlk202819803"/>
          </w:p>
        </w:tc>
        <w:tc>
          <w:tcPr>
            <w:tcW w:w="567" w:type="pct"/>
            <w:vMerge w:val="continue"/>
            <w:noWrap w:val="0"/>
            <w:vAlign w:val="center"/>
          </w:tcPr>
          <w:p>
            <w:pPr>
              <w:snapToGrid w:val="0"/>
              <w:rPr>
                <w:rFonts w:hint="eastAsia" w:ascii="仿宋" w:hAnsi="仿宋" w:eastAsia="仿宋" w:cs="仿宋"/>
                <w:sz w:val="21"/>
                <w:szCs w:val="21"/>
                <w:highlight w:val="none"/>
              </w:rPr>
            </w:pPr>
          </w:p>
        </w:tc>
        <w:tc>
          <w:tcPr>
            <w:tcW w:w="461" w:type="pct"/>
            <w:tcBorders>
              <w:top w:val="single" w:color="auto" w:sz="4" w:space="0"/>
              <w:left w:val="single" w:color="auto" w:sz="4" w:space="0"/>
            </w:tcBorders>
            <w:noWrap w:val="0"/>
            <w:vAlign w:val="center"/>
          </w:tcPr>
          <w:p>
            <w:pPr>
              <w:snapToGrid w:val="0"/>
              <w:jc w:val="center"/>
              <w:rPr>
                <w:rFonts w:hint="eastAsia" w:ascii="仿宋" w:hAnsi="仿宋" w:eastAsia="仿宋" w:cs="仿宋"/>
                <w:sz w:val="21"/>
                <w:szCs w:val="21"/>
                <w:highlight w:val="none"/>
              </w:rPr>
            </w:pPr>
            <w:bookmarkStart w:id="74" w:name="_Hlk202819741"/>
            <w:r>
              <w:rPr>
                <w:rFonts w:hint="eastAsia" w:ascii="仿宋" w:hAnsi="仿宋" w:eastAsia="仿宋" w:cs="仿宋"/>
                <w:sz w:val="21"/>
                <w:szCs w:val="21"/>
                <w:highlight w:val="none"/>
              </w:rPr>
              <w:t>人员证书</w:t>
            </w:r>
          </w:p>
          <w:p>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bookmarkEnd w:id="74"/>
          </w:p>
        </w:tc>
        <w:tc>
          <w:tcPr>
            <w:tcW w:w="2521" w:type="pct"/>
            <w:tcBorders>
              <w:top w:val="single" w:color="auto" w:sz="4" w:space="0"/>
              <w:left w:val="single" w:color="auto" w:sz="4" w:space="0"/>
              <w:bottom w:val="single" w:color="auto" w:sz="4" w:space="0"/>
            </w:tcBorders>
            <w:noWrap w:val="0"/>
            <w:vAlign w:val="center"/>
          </w:tcPr>
          <w:p>
            <w:pPr>
              <w:numPr>
                <w:ilvl w:val="0"/>
                <w:numId w:val="0"/>
              </w:numPr>
              <w:snapToGrid w:val="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1.供应商人员具有环境工程高级工程师证书，每提供一个得2分，该项最多得10分，未提供不得分。</w:t>
            </w:r>
          </w:p>
          <w:p>
            <w:pPr>
              <w:numPr>
                <w:ilvl w:val="0"/>
                <w:numId w:val="0"/>
              </w:numPr>
              <w:snapToGrid w:val="0"/>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2.供应商人员具有自动连续监测（水类）运维证书，每提供一个得1分，该项最多得5分，未提供不得分。</w:t>
            </w:r>
          </w:p>
        </w:tc>
        <w:tc>
          <w:tcPr>
            <w:tcW w:w="1149" w:type="pct"/>
            <w:tcBorders>
              <w:top w:val="single" w:color="auto" w:sz="4" w:space="0"/>
              <w:left w:val="single" w:color="auto" w:sz="4" w:space="0"/>
            </w:tcBorders>
            <w:noWrap w:val="0"/>
            <w:vAlign w:val="center"/>
          </w:tcPr>
          <w:p>
            <w:pPr>
              <w:snapToGrid w:val="0"/>
              <w:rPr>
                <w:rFonts w:hint="eastAsia" w:ascii="仿宋" w:hAnsi="仿宋" w:eastAsia="仿宋" w:cs="仿宋"/>
                <w:sz w:val="21"/>
                <w:szCs w:val="21"/>
                <w:highlight w:val="none"/>
              </w:rPr>
            </w:pPr>
            <w:r>
              <w:rPr>
                <w:rFonts w:hint="eastAsia" w:ascii="仿宋" w:hAnsi="仿宋" w:eastAsia="仿宋" w:cs="仿宋"/>
                <w:color w:val="auto"/>
                <w:sz w:val="21"/>
                <w:szCs w:val="21"/>
                <w:highlight w:val="none"/>
                <w:shd w:val="clear" w:color="auto" w:fill="auto"/>
                <w:lang w:val="en-US" w:eastAsia="zh-CN"/>
              </w:rPr>
              <w:t>提供相关人员为投标单位正式员工的佐证资料复印件，</w:t>
            </w:r>
            <w:r>
              <w:rPr>
                <w:rFonts w:hint="eastAsia" w:ascii="仿宋" w:hAnsi="仿宋" w:eastAsia="仿宋" w:cs="仿宋"/>
                <w:color w:val="auto"/>
                <w:sz w:val="21"/>
                <w:szCs w:val="21"/>
                <w:highlight w:val="none"/>
              </w:rPr>
              <w:t>提供开标截止日当月前3个月中任意一个月加盖社保局公章或电子章的社保证明，同时加盖</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公章</w:t>
            </w:r>
            <w:r>
              <w:rPr>
                <w:rFonts w:hint="eastAsia" w:ascii="仿宋" w:hAnsi="仿宋" w:eastAsia="仿宋" w:cs="仿宋"/>
                <w:color w:val="auto"/>
                <w:sz w:val="21"/>
                <w:szCs w:val="21"/>
                <w:highlight w:val="none"/>
                <w:shd w:val="clear" w:color="auto" w:fill="auto"/>
                <w:lang w:val="en-US" w:eastAsia="zh-CN"/>
              </w:rPr>
              <w:t>。</w:t>
            </w:r>
          </w:p>
        </w:tc>
      </w:tr>
      <w:bookmark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99" w:type="pct"/>
            <w:vMerge w:val="continue"/>
            <w:noWrap w:val="0"/>
            <w:vAlign w:val="center"/>
          </w:tcPr>
          <w:p>
            <w:pPr>
              <w:snapToGrid w:val="0"/>
              <w:rPr>
                <w:rFonts w:hint="eastAsia" w:ascii="仿宋" w:hAnsi="仿宋" w:eastAsia="仿宋" w:cs="仿宋"/>
                <w:sz w:val="21"/>
                <w:szCs w:val="21"/>
                <w:highlight w:val="none"/>
              </w:rPr>
            </w:pPr>
          </w:p>
        </w:tc>
        <w:tc>
          <w:tcPr>
            <w:tcW w:w="567" w:type="pct"/>
            <w:vMerge w:val="continue"/>
            <w:noWrap w:val="0"/>
            <w:vAlign w:val="center"/>
          </w:tcPr>
          <w:p>
            <w:pPr>
              <w:snapToGrid w:val="0"/>
              <w:rPr>
                <w:rFonts w:hint="eastAsia" w:ascii="仿宋" w:hAnsi="仿宋" w:eastAsia="仿宋" w:cs="仿宋"/>
                <w:sz w:val="21"/>
                <w:szCs w:val="21"/>
                <w:highlight w:val="none"/>
              </w:rPr>
            </w:pPr>
          </w:p>
        </w:tc>
        <w:tc>
          <w:tcPr>
            <w:tcW w:w="461" w:type="pct"/>
            <w:tcBorders>
              <w:top w:val="single" w:color="auto" w:sz="4" w:space="0"/>
              <w:left w:val="single" w:color="auto" w:sz="4" w:space="0"/>
              <w:bottom w:val="single" w:color="auto" w:sz="4" w:space="0"/>
            </w:tcBorders>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业绩</w:t>
            </w:r>
          </w:p>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tc>
        <w:tc>
          <w:tcPr>
            <w:tcW w:w="2521" w:type="pct"/>
            <w:tcBorders>
              <w:top w:val="single" w:color="auto" w:sz="4" w:space="0"/>
              <w:left w:val="single" w:color="auto" w:sz="4" w:space="0"/>
              <w:bottom w:val="single" w:color="auto" w:sz="4" w:space="0"/>
            </w:tcBorders>
            <w:noWrap w:val="0"/>
            <w:vAlign w:val="center"/>
          </w:tcPr>
          <w:p>
            <w:pPr>
              <w:spacing w:line="240" w:lineRule="atLeast"/>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2023年1月1日至竞标截止时间为止（以合同签订时间为准），供应商具备出水废水在线设备运维业绩，每提供一个得1分，最多得5分。</w:t>
            </w:r>
          </w:p>
        </w:tc>
        <w:tc>
          <w:tcPr>
            <w:tcW w:w="1149" w:type="pct"/>
            <w:tcBorders>
              <w:top w:val="single" w:color="auto" w:sz="4" w:space="0"/>
              <w:left w:val="single" w:color="auto" w:sz="4" w:space="0"/>
              <w:bottom w:val="single" w:color="auto" w:sz="4" w:space="0"/>
            </w:tcBorders>
            <w:noWrap w:val="0"/>
            <w:vAlign w:val="center"/>
          </w:tcPr>
          <w:p>
            <w:pPr>
              <w:snapToGrid w:val="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r>
              <w:rPr>
                <w:rFonts w:hint="eastAsia" w:ascii="仿宋" w:hAnsi="仿宋" w:eastAsia="仿宋" w:cs="仿宋"/>
                <w:color w:val="auto"/>
                <w:kern w:val="2"/>
                <w:sz w:val="21"/>
                <w:szCs w:val="21"/>
                <w:highlight w:val="none"/>
                <w:shd w:val="clear" w:color="auto" w:fill="auto"/>
                <w:lang w:eastAsia="zh-CN"/>
              </w:rPr>
              <w:t>提供项目合同复印件、加盖供应商公章。</w:t>
            </w:r>
          </w:p>
        </w:tc>
      </w:tr>
    </w:tbl>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注:异常低价问题有关事项的说明</w:t>
      </w:r>
    </w:p>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(一)参照《关于推动解决政府采购异常低价问题的通知》财库〔2026]2号文件规定，采购评审中出现下列情形之一的，评审委员会应当启动异常低价审查程序:</w:t>
      </w:r>
    </w:p>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1.响应报价低于全部通过符合性审查供应商响应报价平均值50%的，即响应报价&lt;全部通过符合性审查供应商响应报价平均值×50%； </w:t>
      </w:r>
    </w:p>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2.响应报价低于通过符合性审查的次低报价供应商响应报价50%的，即响应报价&lt;通过符合性审查的次低报价供应商响应报价×50%； </w:t>
      </w:r>
    </w:p>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3.响应报价低于采购项目最高限价45%的，即响应报价&lt;采购项目最高限价×45%；</w:t>
      </w:r>
    </w:p>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4.评审委员会基于专业判断，认为供应商报价过低，有可能影响产品质量或者不能诚信履约的其他情形。</w:t>
      </w:r>
    </w:p>
    <w:p>
      <w:pPr>
        <w:spacing w:line="400" w:lineRule="exact"/>
        <w:ind w:firstLine="482" w:firstLineChars="200"/>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（二）评审委员会启动异常低价响应审查后，属于前述第1项至第4项情形的，应当要求相关供应商</w:t>
      </w:r>
      <w:r>
        <w:rPr>
          <w:rFonts w:hint="eastAsia" w:ascii="仿宋" w:hAnsi="仿宋" w:eastAsia="仿宋" w:cs="仿宋"/>
          <w:b/>
          <w:sz w:val="24"/>
          <w:szCs w:val="24"/>
          <w:highlight w:val="none"/>
          <w:lang w:val="en-US" w:eastAsia="zh-CN"/>
        </w:rPr>
        <w:t>通过邮箱或</w:t>
      </w:r>
      <w:r>
        <w:rPr>
          <w:rFonts w:hint="eastAsia" w:ascii="仿宋" w:hAnsi="仿宋" w:eastAsia="仿宋" w:cs="仿宋"/>
          <w:b/>
          <w:sz w:val="24"/>
          <w:szCs w:val="24"/>
          <w:highlight w:val="none"/>
        </w:rPr>
        <w:t>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w:t>
      </w:r>
      <w:r>
        <w:rPr>
          <w:rFonts w:hint="eastAsia" w:ascii="仿宋" w:hAnsi="仿宋" w:eastAsia="仿宋" w:cs="仿宋"/>
          <w:b/>
          <w:sz w:val="24"/>
          <w:szCs w:val="24"/>
          <w:highlight w:val="none"/>
          <w:lang w:val="en-US" w:eastAsia="zh-CN"/>
        </w:rPr>
        <w:t>邮箱或</w:t>
      </w:r>
      <w:r>
        <w:rPr>
          <w:rFonts w:hint="eastAsia" w:ascii="仿宋" w:hAnsi="仿宋" w:eastAsia="仿宋" w:cs="仿宋"/>
          <w:b/>
          <w:sz w:val="24"/>
          <w:szCs w:val="24"/>
          <w:highlight w:val="none"/>
        </w:rPr>
        <w:t>在评审现场可不再通过邮箱或在评审现场重复提交。</w:t>
      </w:r>
    </w:p>
    <w:p>
      <w:pPr>
        <w:pStyle w:val="4"/>
        <w:spacing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bookmarkStart w:id="75" w:name="_Toc9222"/>
    </w:p>
    <w:p>
      <w:pPr>
        <w:pStyle w:val="4"/>
        <w:spacing w:line="400" w:lineRule="exact"/>
        <w:ind w:firstLine="482" w:firstLineChars="200"/>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三、无效</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仿宋" w:hAnsi="仿宋" w:eastAsia="仿宋" w:cs="仿宋"/>
          <w:b/>
          <w:sz w:val="24"/>
          <w:szCs w:val="24"/>
          <w:highlight w:val="none"/>
          <w:lang w:eastAsia="zh-CN"/>
        </w:rPr>
        <w:t>竞标</w:t>
      </w:r>
      <w:bookmarkEnd w:id="75"/>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发生以下条款情况之一者，视为</w:t>
      </w:r>
      <w:r>
        <w:rPr>
          <w:rFonts w:hint="eastAsia" w:ascii="仿宋" w:hAnsi="仿宋" w:eastAsia="仿宋" w:cs="仿宋"/>
          <w:sz w:val="24"/>
          <w:szCs w:val="24"/>
          <w:highlight w:val="none"/>
          <w:lang w:eastAsia="zh-CN"/>
        </w:rPr>
        <w:t>竞标</w:t>
      </w:r>
      <w:r>
        <w:rPr>
          <w:rFonts w:hint="eastAsia" w:ascii="仿宋" w:hAnsi="仿宋" w:eastAsia="仿宋" w:cs="仿宋"/>
          <w:sz w:val="24"/>
          <w:szCs w:val="24"/>
          <w:highlight w:val="none"/>
        </w:rPr>
        <w:t>无效，其</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将被拒绝：</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不符合规定的基本资格条件或特定资格条件的；</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所提交的</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不按第七篇“</w:t>
      </w:r>
      <w:r>
        <w:rPr>
          <w:rFonts w:hint="eastAsia" w:ascii="仿宋" w:hAnsi="仿宋" w:eastAsia="仿宋" w:cs="仿宋"/>
          <w:sz w:val="24"/>
          <w:szCs w:val="24"/>
          <w:highlight w:val="none"/>
          <w:lang w:eastAsia="zh-CN"/>
        </w:rPr>
        <w:t>申请文件</w:t>
      </w:r>
      <w:r>
        <w:rPr>
          <w:rFonts w:hint="eastAsia" w:ascii="仿宋" w:hAnsi="仿宋" w:eastAsia="仿宋" w:cs="仿宋"/>
          <w:sz w:val="24"/>
          <w:szCs w:val="24"/>
          <w:highlight w:val="none"/>
        </w:rPr>
        <w:t>编制要求”规定签字、盖章；</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的报价超过采购预算的；</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）法定代表人为同一个人的两个及两个以上法人，母公司、全资子公司及其控股公司，在同一分包采购中同时参与</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）单位负责人为同一人或者存在直接控股、管理关系的不同</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，参加同一合同项下的采购活动的；</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）为采购项目提供整体设计、规范编制或者项目管理、监理、检测等服务的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，再参加该采购项目的其他采购活动；</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报价经评审认定为异常低价</w:t>
      </w:r>
      <w:r>
        <w:rPr>
          <w:rFonts w:hint="eastAsia" w:ascii="仿宋" w:hAnsi="仿宋" w:eastAsia="仿宋" w:cs="仿宋"/>
          <w:sz w:val="24"/>
          <w:szCs w:val="24"/>
          <w:highlight w:val="none"/>
        </w:rPr>
        <w:t>的；</w:t>
      </w:r>
    </w:p>
    <w:p>
      <w:pPr>
        <w:snapToGrid w:val="0"/>
        <w:spacing w:line="400" w:lineRule="exact"/>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供应商申请文件</w:t>
      </w:r>
      <w:r>
        <w:rPr>
          <w:rFonts w:hint="eastAsia" w:ascii="仿宋" w:hAnsi="仿宋" w:eastAsia="仿宋" w:cs="仿宋"/>
          <w:sz w:val="24"/>
          <w:szCs w:val="24"/>
          <w:highlight w:val="none"/>
        </w:rPr>
        <w:t>内容附有</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无法接受的条件。</w:t>
      </w:r>
    </w:p>
    <w:p>
      <w:pPr>
        <w:snapToGrid w:val="0"/>
        <w:spacing w:line="400" w:lineRule="exact"/>
        <w:ind w:firstLine="46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未通过符合性审查的</w:t>
      </w:r>
      <w:r>
        <w:rPr>
          <w:rFonts w:hint="eastAsia" w:ascii="仿宋" w:hAnsi="仿宋" w:eastAsia="仿宋" w:cs="仿宋"/>
          <w:sz w:val="24"/>
          <w:szCs w:val="24"/>
          <w:highlight w:val="none"/>
          <w:lang w:eastAsia="zh-CN"/>
        </w:rPr>
        <w:t>。</w:t>
      </w:r>
    </w:p>
    <w:p>
      <w:pPr>
        <w:pStyle w:val="2"/>
        <w:ind w:firstLine="480" w:firstLineChars="200"/>
        <w:rPr>
          <w:rFonts w:hint="default"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法律、法规和竞采文件规定的其他无效情形。</w:t>
      </w:r>
    </w:p>
    <w:p>
      <w:pPr>
        <w:pStyle w:val="4"/>
        <w:spacing w:line="400" w:lineRule="exact"/>
        <w:ind w:firstLine="482" w:firstLineChars="200"/>
        <w:rPr>
          <w:rFonts w:hint="eastAsia" w:ascii="仿宋" w:hAnsi="仿宋" w:eastAsia="仿宋" w:cs="仿宋"/>
          <w:b/>
          <w:sz w:val="24"/>
          <w:szCs w:val="24"/>
          <w:highlight w:val="none"/>
        </w:rPr>
      </w:pPr>
      <w:bookmarkStart w:id="76" w:name="_Toc26738"/>
      <w:bookmarkStart w:id="77" w:name="_Toc31134"/>
      <w:bookmarkStart w:id="78" w:name="_Toc24644"/>
      <w:bookmarkStart w:id="79" w:name="_Toc14780"/>
      <w:bookmarkStart w:id="80" w:name="_Toc30823"/>
      <w:bookmarkStart w:id="81" w:name="_Toc30434"/>
      <w:bookmarkStart w:id="82" w:name="_Toc22895"/>
      <w:bookmarkStart w:id="83" w:name="_Toc14613"/>
      <w:bookmarkStart w:id="84" w:name="_Toc23211"/>
      <w:bookmarkStart w:id="85" w:name="_Toc16371"/>
      <w:bookmarkStart w:id="86" w:name="_Toc32409"/>
      <w:bookmarkStart w:id="87" w:name="_Toc13805"/>
      <w:bookmarkStart w:id="88" w:name="_Toc26021"/>
      <w:bookmarkStart w:id="89" w:name="_Toc24314"/>
      <w:bookmarkStart w:id="90" w:name="_Toc29859"/>
      <w:bookmarkStart w:id="91" w:name="_Toc27617"/>
      <w:bookmarkStart w:id="92" w:name="_Toc23996"/>
      <w:bookmarkStart w:id="93" w:name="_Toc27821"/>
      <w:bookmarkStart w:id="94" w:name="_Toc26672"/>
      <w:bookmarkStart w:id="95" w:name="_Toc3846"/>
      <w:bookmarkStart w:id="96" w:name="_Toc28079"/>
      <w:bookmarkStart w:id="97" w:name="_Toc9119"/>
      <w:bookmarkStart w:id="98" w:name="_Toc6172"/>
      <w:bookmarkStart w:id="99" w:name="_Toc27038"/>
      <w:bookmarkStart w:id="100" w:name="_Toc20931"/>
      <w:bookmarkStart w:id="101" w:name="_Toc20410"/>
      <w:bookmarkStart w:id="102" w:name="_Toc20199"/>
      <w:bookmarkStart w:id="103" w:name="_Toc5975"/>
      <w:bookmarkStart w:id="104" w:name="_Toc9578"/>
      <w:r>
        <w:rPr>
          <w:rFonts w:hint="eastAsia" w:ascii="仿宋" w:hAnsi="仿宋" w:eastAsia="仿宋" w:cs="仿宋"/>
          <w:b/>
          <w:sz w:val="24"/>
          <w:szCs w:val="24"/>
          <w:highlight w:val="none"/>
        </w:rPr>
        <w:t>四、</w:t>
      </w:r>
      <w:bookmarkEnd w:id="68"/>
      <w:bookmarkEnd w:id="69"/>
      <w:r>
        <w:rPr>
          <w:rFonts w:hint="eastAsia" w:ascii="仿宋" w:hAnsi="仿宋" w:eastAsia="仿宋" w:cs="仿宋"/>
          <w:b/>
          <w:sz w:val="24"/>
          <w:szCs w:val="24"/>
          <w:highlight w:val="none"/>
        </w:rPr>
        <w:t>采购终止</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400" w:lineRule="exact"/>
        <w:ind w:firstLine="46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应当终止</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采购活动，发布项目终止公告并说明原因，重新开展采购活动：</w:t>
      </w:r>
    </w:p>
    <w:p>
      <w:pPr>
        <w:snapToGrid w:val="0"/>
        <w:spacing w:line="400" w:lineRule="exact"/>
        <w:ind w:firstLine="46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采购方式适用情形的；</w:t>
      </w:r>
    </w:p>
    <w:p>
      <w:pPr>
        <w:snapToGrid w:val="0"/>
        <w:spacing w:line="400" w:lineRule="exact"/>
        <w:ind w:firstLine="46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（三）满足本项目采购实质性要求或未超过采购预算的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不足3家的。</w:t>
      </w:r>
    </w:p>
    <w:bookmarkEnd w:id="70"/>
    <w:p>
      <w:pPr>
        <w:pStyle w:val="3"/>
        <w:spacing w:before="0" w:beforeLines="0" w:after="0" w:afterLines="0" w:line="360" w:lineRule="auto"/>
        <w:rPr>
          <w:rFonts w:hint="eastAsia" w:ascii="仿宋" w:hAnsi="仿宋" w:eastAsia="仿宋" w:cs="仿宋"/>
          <w:b/>
          <w:highlight w:val="none"/>
        </w:rPr>
      </w:pPr>
      <w:r>
        <w:rPr>
          <w:rFonts w:hint="eastAsia" w:ascii="仿宋" w:hAnsi="仿宋" w:eastAsia="仿宋" w:cs="仿宋"/>
          <w:sz w:val="28"/>
          <w:highlight w:val="none"/>
        </w:rPr>
        <w:br w:type="page"/>
      </w:r>
      <w:bookmarkStart w:id="105" w:name="_Toc18830"/>
      <w:r>
        <w:rPr>
          <w:rFonts w:hint="eastAsia" w:ascii="仿宋" w:hAnsi="仿宋" w:eastAsia="仿宋" w:cs="仿宋"/>
          <w:b/>
          <w:highlight w:val="none"/>
        </w:rPr>
        <w:t xml:space="preserve">第五篇  </w:t>
      </w:r>
      <w:r>
        <w:rPr>
          <w:rFonts w:hint="eastAsia" w:ascii="仿宋" w:hAnsi="仿宋" w:eastAsia="仿宋" w:cs="仿宋"/>
          <w:b/>
          <w:highlight w:val="none"/>
          <w:lang w:eastAsia="zh-CN"/>
        </w:rPr>
        <w:t>供应商</w:t>
      </w:r>
      <w:r>
        <w:rPr>
          <w:rFonts w:hint="eastAsia" w:ascii="仿宋" w:hAnsi="仿宋" w:eastAsia="仿宋" w:cs="仿宋"/>
          <w:b/>
          <w:highlight w:val="none"/>
        </w:rPr>
        <w:t>须知</w:t>
      </w:r>
      <w:bookmarkEnd w:id="105"/>
    </w:p>
    <w:p>
      <w:pPr>
        <w:pStyle w:val="4"/>
        <w:spacing w:line="400" w:lineRule="exact"/>
        <w:ind w:firstLine="482" w:firstLineChars="200"/>
        <w:rPr>
          <w:rFonts w:hint="eastAsia" w:ascii="仿宋" w:hAnsi="仿宋" w:eastAsia="仿宋" w:cs="仿宋"/>
          <w:b/>
          <w:sz w:val="24"/>
          <w:highlight w:val="none"/>
          <w:lang w:eastAsia="zh-CN"/>
        </w:rPr>
      </w:pPr>
      <w:bookmarkStart w:id="106" w:name="_Toc12044"/>
      <w:bookmarkStart w:id="107" w:name="_Toc27025"/>
      <w:r>
        <w:rPr>
          <w:rFonts w:hint="eastAsia" w:ascii="仿宋" w:hAnsi="仿宋" w:eastAsia="仿宋" w:cs="仿宋"/>
          <w:b/>
          <w:sz w:val="24"/>
          <w:highlight w:val="none"/>
        </w:rPr>
        <w:t>一、</w:t>
      </w:r>
      <w:bookmarkEnd w:id="106"/>
      <w:r>
        <w:rPr>
          <w:rFonts w:hint="eastAsia" w:ascii="仿宋" w:hAnsi="仿宋" w:eastAsia="仿宋" w:cs="仿宋"/>
          <w:b/>
          <w:sz w:val="24"/>
          <w:highlight w:val="none"/>
          <w:lang w:eastAsia="zh-CN"/>
        </w:rPr>
        <w:t>供应商</w:t>
      </w:r>
      <w:bookmarkEnd w:id="107"/>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（一）合格</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条件</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合格</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应完全符合竞争性比选文件第一篇中规定的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资格要求，并对竞争性比选文件作出实质性</w:t>
      </w:r>
      <w:r>
        <w:rPr>
          <w:rFonts w:hint="eastAsia" w:ascii="仿宋" w:hAnsi="仿宋" w:eastAsia="仿宋" w:cs="仿宋"/>
          <w:sz w:val="24"/>
          <w:highlight w:val="none"/>
          <w:lang w:eastAsia="zh-CN"/>
        </w:rPr>
        <w:t>竞标</w:t>
      </w:r>
      <w:r>
        <w:rPr>
          <w:rFonts w:hint="eastAsia" w:ascii="仿宋" w:hAnsi="仿宋" w:eastAsia="仿宋" w:cs="仿宋"/>
          <w:sz w:val="24"/>
          <w:highlight w:val="none"/>
        </w:rPr>
        <w:t>。</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的风险</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供应商</w:t>
      </w:r>
      <w:r>
        <w:rPr>
          <w:rFonts w:hint="eastAsia" w:ascii="仿宋" w:hAnsi="仿宋" w:eastAsia="仿宋" w:cs="仿宋"/>
          <w:sz w:val="24"/>
          <w:highlight w:val="none"/>
        </w:rPr>
        <w:t>没有按照竞争性比选文件要求提供全部资料，或者</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没有对竞争性比选文件在各方面作出实质性</w:t>
      </w:r>
      <w:r>
        <w:rPr>
          <w:rFonts w:hint="eastAsia" w:ascii="仿宋" w:hAnsi="仿宋" w:eastAsia="仿宋" w:cs="仿宋"/>
          <w:sz w:val="24"/>
          <w:highlight w:val="none"/>
          <w:lang w:eastAsia="zh-CN"/>
        </w:rPr>
        <w:t>竞标</w:t>
      </w:r>
      <w:r>
        <w:rPr>
          <w:rFonts w:hint="eastAsia" w:ascii="仿宋" w:hAnsi="仿宋" w:eastAsia="仿宋" w:cs="仿宋"/>
          <w:sz w:val="24"/>
          <w:highlight w:val="none"/>
        </w:rPr>
        <w:t>，可能导致竞标被拒绝或被否决。</w:t>
      </w:r>
    </w:p>
    <w:p>
      <w:pPr>
        <w:pStyle w:val="4"/>
        <w:spacing w:line="400" w:lineRule="exact"/>
        <w:ind w:firstLine="482" w:firstLineChars="200"/>
        <w:rPr>
          <w:rFonts w:hint="eastAsia" w:ascii="仿宋" w:hAnsi="仿宋" w:eastAsia="仿宋" w:cs="仿宋"/>
          <w:b/>
          <w:sz w:val="24"/>
          <w:highlight w:val="none"/>
        </w:rPr>
      </w:pPr>
      <w:bookmarkStart w:id="108" w:name="_Toc5139"/>
      <w:bookmarkStart w:id="109" w:name="_Toc19324"/>
      <w:r>
        <w:rPr>
          <w:rFonts w:hint="eastAsia" w:ascii="仿宋" w:hAnsi="仿宋" w:eastAsia="仿宋" w:cs="仿宋"/>
          <w:b/>
          <w:sz w:val="24"/>
          <w:highlight w:val="none"/>
        </w:rPr>
        <w:t>二、竞争性比选文件</w:t>
      </w:r>
      <w:bookmarkEnd w:id="108"/>
      <w:bookmarkEnd w:id="109"/>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竞争性比选文件是</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编制</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的依据，是评审小组评判依据和标准。竞争性比选文件也是</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与</w:t>
      </w:r>
      <w:r>
        <w:rPr>
          <w:rFonts w:hint="eastAsia" w:ascii="仿宋" w:hAnsi="仿宋" w:eastAsia="仿宋" w:cs="仿宋"/>
          <w:sz w:val="24"/>
          <w:highlight w:val="none"/>
          <w:lang w:eastAsia="zh-CN"/>
        </w:rPr>
        <w:t>中选人</w:t>
      </w:r>
      <w:r>
        <w:rPr>
          <w:rFonts w:hint="eastAsia" w:ascii="仿宋" w:hAnsi="仿宋" w:eastAsia="仿宋" w:cs="仿宋"/>
          <w:sz w:val="24"/>
          <w:highlight w:val="none"/>
        </w:rPr>
        <w:t>签订合同的基础。</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（一）竞争性比选文件由竞标邀请书；项目技术要求；项目商务要求；资格审查及评标办法；</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须知；合同主要条款和格式合同；</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格式等七部分组成。</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（二）采购代理机构对竞争性比选文件所作的一切有效的书面通知、修改及补充，都是竞争性比选文件不可分割的部分。</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（三）本项目若有补遗文件一律以书面形式通知各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，请各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注意查收邮件或到采购代理机构领取；无论</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下载或领取与否，均视同</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已知晓本项目补遗文件的内容。</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（四）采购代理机构对已发出的竞争性比选文件需要进行澄清或修改的，应以书面形式或公告形式通知所有竞争性比选文件收受人。</w:t>
      </w:r>
    </w:p>
    <w:p>
      <w:pPr>
        <w:pStyle w:val="4"/>
        <w:spacing w:line="400" w:lineRule="exact"/>
        <w:ind w:firstLine="482" w:firstLineChars="200"/>
        <w:rPr>
          <w:rFonts w:hint="eastAsia" w:ascii="仿宋" w:hAnsi="仿宋" w:eastAsia="仿宋" w:cs="仿宋"/>
          <w:b/>
          <w:sz w:val="24"/>
          <w:szCs w:val="22"/>
          <w:highlight w:val="none"/>
          <w:lang w:eastAsia="zh-CN"/>
        </w:rPr>
      </w:pPr>
      <w:bookmarkStart w:id="110" w:name="_Toc3419"/>
      <w:r>
        <w:rPr>
          <w:rFonts w:hint="eastAsia" w:ascii="仿宋" w:hAnsi="仿宋" w:eastAsia="仿宋" w:cs="仿宋"/>
          <w:b/>
          <w:sz w:val="24"/>
          <w:szCs w:val="22"/>
          <w:highlight w:val="none"/>
        </w:rPr>
        <w:t>三、</w:t>
      </w:r>
      <w:r>
        <w:rPr>
          <w:rFonts w:hint="eastAsia" w:ascii="仿宋" w:hAnsi="仿宋" w:eastAsia="仿宋" w:cs="仿宋"/>
          <w:b/>
          <w:sz w:val="24"/>
          <w:szCs w:val="22"/>
          <w:highlight w:val="none"/>
          <w:lang w:eastAsia="zh-CN"/>
        </w:rPr>
        <w:t>申请文件</w:t>
      </w:r>
      <w:bookmarkEnd w:id="110"/>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供应商</w:t>
      </w:r>
      <w:r>
        <w:rPr>
          <w:rFonts w:hint="eastAsia" w:ascii="仿宋" w:hAnsi="仿宋" w:eastAsia="仿宋" w:cs="仿宋"/>
          <w:sz w:val="24"/>
          <w:highlight w:val="none"/>
        </w:rPr>
        <w:t>应当按照竞争性比选文件的要求编制</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，并对竞争性比选文件提出的要求和条件作出实质性</w:t>
      </w:r>
      <w:r>
        <w:rPr>
          <w:rFonts w:hint="eastAsia" w:ascii="仿宋" w:hAnsi="仿宋" w:eastAsia="仿宋" w:cs="仿宋"/>
          <w:sz w:val="24"/>
          <w:highlight w:val="none"/>
          <w:lang w:eastAsia="zh-CN"/>
        </w:rPr>
        <w:t>竞标</w:t>
      </w:r>
      <w:r>
        <w:rPr>
          <w:rFonts w:hint="eastAsia" w:ascii="仿宋" w:hAnsi="仿宋" w:eastAsia="仿宋" w:cs="仿宋"/>
          <w:sz w:val="24"/>
          <w:highlight w:val="none"/>
        </w:rPr>
        <w:t>，</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原则上采用软面订本，同时应编制完整的页码、目录。</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组成</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由第七篇“</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格式”规定的部分和</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所作的一切有效补充、修改和承诺等文件组成，</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应按照第七篇“</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格式”规定的目录顺序组织编写和装订，否则有可能影响评委对</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的评审。</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具体内容如下：</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经济文件</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1.1</w:t>
      </w:r>
      <w:r>
        <w:rPr>
          <w:rFonts w:hint="eastAsia" w:ascii="仿宋" w:hAnsi="仿宋" w:eastAsia="仿宋" w:cs="仿宋"/>
          <w:sz w:val="24"/>
          <w:highlight w:val="none"/>
        </w:rPr>
        <w:t>开标一览表</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1.2</w:t>
      </w:r>
      <w:r>
        <w:rPr>
          <w:rFonts w:hint="eastAsia" w:ascii="仿宋" w:hAnsi="仿宋" w:eastAsia="仿宋" w:cs="仿宋"/>
          <w:sz w:val="24"/>
          <w:highlight w:val="none"/>
        </w:rPr>
        <w:t>分项报价明细表</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资格文件</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2.1</w:t>
      </w:r>
      <w:r>
        <w:rPr>
          <w:rFonts w:hint="eastAsia" w:ascii="仿宋" w:hAnsi="仿宋" w:eastAsia="仿宋" w:cs="仿宋"/>
          <w:sz w:val="24"/>
          <w:highlight w:val="none"/>
        </w:rPr>
        <w:t>营业执照（副本）或事业单位法人证书（副本）复印件</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2.2</w:t>
      </w:r>
      <w:r>
        <w:rPr>
          <w:rFonts w:hint="eastAsia" w:ascii="仿宋" w:hAnsi="仿宋" w:eastAsia="仿宋" w:cs="仿宋"/>
          <w:sz w:val="24"/>
          <w:highlight w:val="none"/>
        </w:rPr>
        <w:t>组织机构代码证复印件</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法定代表人身份证明书（格式）</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法定代表人授权委托书（格式）</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2.5</w:t>
      </w:r>
      <w:r>
        <w:rPr>
          <w:rFonts w:hint="eastAsia" w:ascii="仿宋" w:hAnsi="仿宋" w:eastAsia="仿宋" w:cs="仿宋"/>
          <w:sz w:val="24"/>
          <w:highlight w:val="none"/>
        </w:rPr>
        <w:t>法定代表人社保证明材料</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2.6</w:t>
      </w:r>
      <w:r>
        <w:rPr>
          <w:rFonts w:hint="eastAsia" w:ascii="仿宋" w:hAnsi="仿宋" w:eastAsia="仿宋" w:cs="仿宋"/>
          <w:sz w:val="24"/>
          <w:highlight w:val="none"/>
        </w:rPr>
        <w:t>法定代表人未缴纳社保情况说明（格式）</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2.7</w:t>
      </w:r>
      <w:r>
        <w:rPr>
          <w:rFonts w:hint="eastAsia" w:ascii="仿宋" w:hAnsi="仿宋" w:eastAsia="仿宋" w:cs="仿宋"/>
          <w:sz w:val="24"/>
          <w:highlight w:val="none"/>
        </w:rPr>
        <w:t>书面声明</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服务文件</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3.1</w:t>
      </w:r>
      <w:r>
        <w:rPr>
          <w:rFonts w:hint="eastAsia" w:ascii="仿宋" w:hAnsi="仿宋" w:eastAsia="仿宋" w:cs="仿宋"/>
          <w:sz w:val="24"/>
          <w:highlight w:val="none"/>
        </w:rPr>
        <w:t>服务条款差异表</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3.2</w:t>
      </w:r>
      <w:r>
        <w:rPr>
          <w:rFonts w:hint="eastAsia" w:ascii="仿宋" w:hAnsi="仿宋" w:eastAsia="仿宋" w:cs="仿宋"/>
          <w:sz w:val="24"/>
          <w:highlight w:val="none"/>
        </w:rPr>
        <w:t>服务部分评分证明材料（如有）</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商务文件</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4.1</w:t>
      </w:r>
      <w:r>
        <w:rPr>
          <w:rFonts w:hint="eastAsia" w:ascii="仿宋" w:hAnsi="仿宋" w:eastAsia="仿宋" w:cs="仿宋"/>
          <w:sz w:val="24"/>
          <w:highlight w:val="none"/>
        </w:rPr>
        <w:t>竞标函（格式）</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4.2</w:t>
      </w:r>
      <w:r>
        <w:rPr>
          <w:rFonts w:hint="eastAsia" w:ascii="仿宋" w:hAnsi="仿宋" w:eastAsia="仿宋" w:cs="仿宋"/>
          <w:sz w:val="24"/>
          <w:highlight w:val="none"/>
        </w:rPr>
        <w:t>商务条款差异表</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4.3</w:t>
      </w:r>
      <w:r>
        <w:rPr>
          <w:rFonts w:hint="eastAsia" w:ascii="仿宋" w:hAnsi="仿宋" w:eastAsia="仿宋" w:cs="仿宋"/>
          <w:sz w:val="24"/>
          <w:highlight w:val="none"/>
        </w:rPr>
        <w:t>商务承诺（包括但不限于）</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4.4</w:t>
      </w:r>
      <w:r>
        <w:rPr>
          <w:rFonts w:hint="eastAsia" w:ascii="仿宋" w:hAnsi="仿宋" w:eastAsia="仿宋" w:cs="仿宋"/>
          <w:sz w:val="24"/>
          <w:highlight w:val="none"/>
        </w:rPr>
        <w:t>商务部分评分证明材料（如有）</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其他</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5.1</w:t>
      </w:r>
      <w:r>
        <w:rPr>
          <w:rFonts w:hint="eastAsia" w:ascii="仿宋" w:hAnsi="仿宋" w:eastAsia="仿宋" w:cs="仿宋"/>
          <w:sz w:val="24"/>
          <w:highlight w:val="none"/>
        </w:rPr>
        <w:t>其他与项目有关的资料（自附）</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5.2</w:t>
      </w:r>
      <w:r>
        <w:rPr>
          <w:rFonts w:hint="eastAsia" w:ascii="仿宋" w:hAnsi="仿宋" w:eastAsia="仿宋" w:cs="仿宋"/>
          <w:sz w:val="24"/>
          <w:highlight w:val="none"/>
        </w:rPr>
        <w:t>《反商业贿赂承诺书》</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（二）竞标有效期</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竞标有效期为竞标截止日期后九十天内。</w:t>
      </w:r>
    </w:p>
    <w:p>
      <w:pPr>
        <w:snapToGrid w:val="0"/>
        <w:spacing w:line="400" w:lineRule="exact"/>
        <w:ind w:firstLine="470" w:firstLineChars="196"/>
        <w:jc w:val="left"/>
        <w:rPr>
          <w:rFonts w:hint="eastAsia" w:ascii="仿宋" w:hAnsi="仿宋" w:eastAsia="仿宋" w:cs="仿宋"/>
          <w:bCs/>
          <w:sz w:val="24"/>
          <w:highlight w:val="none"/>
        </w:rPr>
      </w:pPr>
      <w:r>
        <w:rPr>
          <w:rFonts w:hint="eastAsia" w:ascii="仿宋" w:hAnsi="仿宋" w:eastAsia="仿宋" w:cs="仿宋"/>
          <w:sz w:val="24"/>
          <w:highlight w:val="none"/>
        </w:rPr>
        <w:t>（三）</w:t>
      </w:r>
      <w:r>
        <w:rPr>
          <w:rFonts w:hint="eastAsia" w:ascii="仿宋" w:hAnsi="仿宋" w:eastAsia="仿宋" w:cs="仿宋"/>
          <w:bCs/>
          <w:sz w:val="24"/>
          <w:highlight w:val="none"/>
          <w:lang w:eastAsia="zh-CN"/>
        </w:rPr>
        <w:t>申请文件</w:t>
      </w:r>
      <w:r>
        <w:rPr>
          <w:rFonts w:hint="eastAsia" w:ascii="仿宋" w:hAnsi="仿宋" w:eastAsia="仿宋" w:cs="仿宋"/>
          <w:bCs/>
          <w:sz w:val="24"/>
          <w:highlight w:val="none"/>
        </w:rPr>
        <w:t>的份数和签署</w:t>
      </w:r>
    </w:p>
    <w:p>
      <w:pPr>
        <w:tabs>
          <w:tab w:val="left" w:pos="0"/>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一式四份，其中正本一份，副本两份，电子文档一份。每套纸质</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须在封面清楚地标明“正本”或“副本”，副本应为正本的完整复印件。电子文档应为纸质文件正本的完整扫描件，格式为PDF，推荐采用光盘或U盘为电子文档载体。副本、电子文档与正本不一致时以正本为准。</w:t>
      </w:r>
    </w:p>
    <w:p>
      <w:pPr>
        <w:tabs>
          <w:tab w:val="left" w:pos="0"/>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2.在</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正本中，竞争性比选文件第七篇</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格式中规定签字、盖章的地方必须按其规定签字、盖章。</w:t>
      </w:r>
    </w:p>
    <w:p>
      <w:pPr>
        <w:tabs>
          <w:tab w:val="left" w:pos="0"/>
        </w:tabs>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3.若</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对</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的错处作必要修改，则应在修改处加盖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公章或由</w:t>
      </w:r>
      <w:r>
        <w:rPr>
          <w:rFonts w:hint="eastAsia" w:ascii="仿宋" w:hAnsi="仿宋" w:eastAsia="仿宋" w:cs="仿宋"/>
          <w:sz w:val="24"/>
          <w:szCs w:val="28"/>
          <w:highlight w:val="none"/>
        </w:rPr>
        <w:t>法定代表人</w:t>
      </w:r>
      <w:r>
        <w:rPr>
          <w:rFonts w:hint="eastAsia" w:ascii="仿宋" w:hAnsi="仿宋" w:eastAsia="仿宋" w:cs="仿宋"/>
          <w:sz w:val="24"/>
          <w:highlight w:val="none"/>
        </w:rPr>
        <w:t>或</w:t>
      </w:r>
      <w:r>
        <w:rPr>
          <w:rFonts w:hint="eastAsia" w:ascii="仿宋" w:hAnsi="仿宋" w:eastAsia="仿宋" w:cs="仿宋"/>
          <w:sz w:val="24"/>
          <w:szCs w:val="28"/>
          <w:highlight w:val="none"/>
        </w:rPr>
        <w:t>法定代表人</w:t>
      </w:r>
      <w:r>
        <w:rPr>
          <w:rFonts w:hint="eastAsia" w:ascii="仿宋" w:hAnsi="仿宋" w:eastAsia="仿宋" w:cs="仿宋"/>
          <w:sz w:val="24"/>
          <w:highlight w:val="none"/>
        </w:rPr>
        <w:t>授权代表签字确认。</w:t>
      </w:r>
    </w:p>
    <w:p>
      <w:pPr>
        <w:snapToGrid w:val="0"/>
        <w:spacing w:line="400" w:lineRule="exact"/>
        <w:ind w:firstLine="470" w:firstLineChars="196"/>
        <w:jc w:val="left"/>
        <w:rPr>
          <w:rFonts w:hint="eastAsia" w:ascii="仿宋" w:hAnsi="仿宋" w:eastAsia="仿宋" w:cs="仿宋"/>
          <w:bCs/>
          <w:sz w:val="24"/>
          <w:highlight w:val="none"/>
        </w:rPr>
      </w:pPr>
      <w:r>
        <w:rPr>
          <w:rFonts w:hint="eastAsia" w:ascii="仿宋" w:hAnsi="仿宋" w:eastAsia="仿宋" w:cs="仿宋"/>
          <w:sz w:val="24"/>
          <w:highlight w:val="none"/>
        </w:rPr>
        <w:t>4.电报、电话、传真形式的</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概不接受。</w:t>
      </w:r>
    </w:p>
    <w:p>
      <w:pPr>
        <w:snapToGrid w:val="0"/>
        <w:spacing w:line="400" w:lineRule="exact"/>
        <w:ind w:firstLine="470" w:firstLineChars="196"/>
        <w:jc w:val="left"/>
        <w:rPr>
          <w:rFonts w:hint="eastAsia"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四</w:t>
      </w:r>
      <w:r>
        <w:rPr>
          <w:rFonts w:hint="eastAsia" w:ascii="仿宋" w:hAnsi="仿宋" w:eastAsia="仿宋" w:cs="仿宋"/>
          <w:bCs/>
          <w:sz w:val="24"/>
          <w:highlight w:val="none"/>
        </w:rPr>
        <w:t>）竞标报价</w:t>
      </w:r>
    </w:p>
    <w:p>
      <w:pPr>
        <w:snapToGrid w:val="0"/>
        <w:spacing w:line="400" w:lineRule="exact"/>
        <w:ind w:firstLine="470" w:firstLineChars="196"/>
        <w:jc w:val="left"/>
        <w:rPr>
          <w:rFonts w:hint="eastAsia" w:ascii="仿宋" w:hAnsi="仿宋" w:eastAsia="仿宋" w:cs="仿宋"/>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eastAsia="zh-CN"/>
        </w:rPr>
        <w:t>供应商</w:t>
      </w:r>
      <w:r>
        <w:rPr>
          <w:rFonts w:hint="eastAsia" w:ascii="仿宋" w:hAnsi="仿宋" w:eastAsia="仿宋" w:cs="仿宋"/>
          <w:bCs/>
          <w:sz w:val="24"/>
          <w:highlight w:val="none"/>
        </w:rPr>
        <w:t>应严格按照“</w:t>
      </w:r>
      <w:r>
        <w:rPr>
          <w:rFonts w:hint="eastAsia" w:ascii="仿宋" w:hAnsi="仿宋" w:eastAsia="仿宋" w:cs="仿宋"/>
          <w:bCs/>
          <w:sz w:val="24"/>
          <w:highlight w:val="none"/>
          <w:lang w:eastAsia="zh-CN"/>
        </w:rPr>
        <w:t>申请文件</w:t>
      </w:r>
      <w:r>
        <w:rPr>
          <w:rFonts w:hint="eastAsia" w:ascii="仿宋" w:hAnsi="仿宋" w:eastAsia="仿宋" w:cs="仿宋"/>
          <w:bCs/>
          <w:sz w:val="24"/>
          <w:highlight w:val="none"/>
        </w:rPr>
        <w:t>格式”中“开标一览表”和“分项报价明细表”</w:t>
      </w:r>
      <w:r>
        <w:rPr>
          <w:rFonts w:hint="eastAsia" w:ascii="仿宋" w:hAnsi="仿宋" w:eastAsia="仿宋" w:cs="仿宋"/>
          <w:sz w:val="24"/>
          <w:highlight w:val="none"/>
        </w:rPr>
        <w:t>的格式填写报价。</w:t>
      </w:r>
    </w:p>
    <w:p>
      <w:pPr>
        <w:snapToGrid w:val="0"/>
        <w:spacing w:line="400" w:lineRule="exact"/>
        <w:ind w:left="3" w:leftChars="1"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的报价为一次性报价，即在竞标有效期内竞标价格固定不变。</w:t>
      </w:r>
    </w:p>
    <w:p>
      <w:pPr>
        <w:snapToGrid w:val="0"/>
        <w:spacing w:line="400" w:lineRule="exact"/>
        <w:ind w:left="3" w:leftChars="1"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3.本项目只接受一个竞标报价，有选择的或有条件的报价将不予接受。</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）修正错误</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若</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出现计算或表达上的错误，修正错误的原则如下：</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1.开标一览表总价与竞标报价明细表汇总数不一致的，</w:t>
      </w:r>
      <w:r>
        <w:rPr>
          <w:rFonts w:hint="eastAsia" w:ascii="仿宋" w:hAnsi="仿宋" w:eastAsia="仿宋" w:cs="仿宋"/>
          <w:kern w:val="0"/>
          <w:sz w:val="24"/>
          <w:highlight w:val="none"/>
        </w:rPr>
        <w:t>以开标一览表为准；</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的大写金额和小写金额不一致的，以大写金额为准；</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3.总价金额与按单价汇总金额不一致的，以单价金额计算结果为准；</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4.单价金额小数点有明显错位的，应以总价为准，并修正单价；</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5.对不同文字文本</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的解释发生异议的，以中文文本为准。</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评审小组按上述修正错误的原则及方法调整或修正</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竞标报价，</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同意并签字确认后，调整后的竞标报价对</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具有约束作用。如果</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不确认的或明显与事实不符的，由</w:t>
      </w:r>
      <w:r>
        <w:rPr>
          <w:rFonts w:hint="eastAsia" w:ascii="仿宋" w:hAnsi="仿宋" w:eastAsia="仿宋" w:cs="仿宋"/>
          <w:sz w:val="24"/>
          <w:szCs w:val="24"/>
          <w:highlight w:val="none"/>
        </w:rPr>
        <w:t>评审小组</w:t>
      </w:r>
      <w:r>
        <w:rPr>
          <w:rFonts w:hint="eastAsia" w:ascii="仿宋" w:hAnsi="仿宋" w:eastAsia="仿宋" w:cs="仿宋"/>
          <w:sz w:val="24"/>
          <w:highlight w:val="none"/>
        </w:rPr>
        <w:t>认定。</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六</w:t>
      </w:r>
      <w:r>
        <w:rPr>
          <w:rFonts w:hint="eastAsia" w:ascii="仿宋" w:hAnsi="仿宋" w:eastAsia="仿宋" w:cs="仿宋"/>
          <w:sz w:val="24"/>
          <w:highlight w:val="none"/>
        </w:rPr>
        <w:t>）</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的递交</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的密封与标记</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的正本、副本均应密封送达竞标地点，应在封套上注明项目名称、</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名称。若正本、副本分别进行密封的，还应在封套上注明“正本”、“副本”字样。</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1.2封套的封口处应加盖</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公章或由法定代表人授权代表签字。</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2.如果</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通过邮寄递交，</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应将</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用内、外两层信封密封。</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2.1内层信封的封装与标记同 “1.”款规定。</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2.2外层信封装入“1.”款所述全部内封资料，并注明项目编号、项目名称、采购代理机构名称及地址。同时应写明</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的名称、地址，以便将迟交的</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原封退还。</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2.3如果未按上述规定进行密封和标记，</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将被拒收。</w:t>
      </w:r>
    </w:p>
    <w:p>
      <w:pPr>
        <w:pStyle w:val="4"/>
        <w:spacing w:line="400" w:lineRule="exact"/>
        <w:ind w:firstLine="482" w:firstLineChars="200"/>
        <w:rPr>
          <w:rFonts w:hint="eastAsia" w:ascii="仿宋" w:hAnsi="仿宋" w:eastAsia="仿宋" w:cs="仿宋"/>
          <w:b/>
          <w:sz w:val="24"/>
          <w:highlight w:val="none"/>
        </w:rPr>
      </w:pPr>
      <w:bookmarkStart w:id="111" w:name="_Toc5079"/>
      <w:bookmarkStart w:id="112" w:name="_Toc11722"/>
      <w:bookmarkStart w:id="113" w:name="_Toc8894"/>
      <w:r>
        <w:rPr>
          <w:rFonts w:hint="eastAsia" w:ascii="仿宋" w:hAnsi="仿宋" w:eastAsia="仿宋" w:cs="仿宋"/>
          <w:b/>
          <w:sz w:val="24"/>
          <w:highlight w:val="none"/>
        </w:rPr>
        <w:t>四、开标</w:t>
      </w:r>
      <w:bookmarkEnd w:id="111"/>
      <w:bookmarkEnd w:id="112"/>
      <w:bookmarkEnd w:id="113"/>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（一）开标应当在竞争性比选文件中“竞标邀请书”确定的时间和地点公开进行。</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（二）采购代理机构可视采购具体情况，延长竞标截止时间和开标时间，将变更时间书面通知所有竞争性比选文件收受人。</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（三）开标由采购代理机构主持，邀请</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代表参加，有关监督部门可视情况派员现场监督。</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（四）开标时，由</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或者其推选的代表检查</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的密封情况，也可以由</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委托的公证机构人员检查</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密封情况并公证；经确认密封完好的</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，由采购代理机构工作人员当众拆封，宣读</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正本“开标一览表”的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名称和竞标报价，以及竞争性比选文件允许的备选竞标方案和</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的其他主要内容并记录。</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（五）未宣读的竞标价格、价格折扣和竞争性比选文件允许提供的备选</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案等实质性内容等，评标时不予承认。</w:t>
      </w:r>
    </w:p>
    <w:p>
      <w:pPr>
        <w:pStyle w:val="8"/>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（六）开标过程应由竞争性比选采购单位指定专人负责记录，并存档备查。</w:t>
      </w:r>
    </w:p>
    <w:p>
      <w:pPr>
        <w:pStyle w:val="8"/>
        <w:spacing w:line="400" w:lineRule="exact"/>
        <w:ind w:firstLine="480" w:firstLineChars="200"/>
        <w:rPr>
          <w:rFonts w:hint="eastAsia" w:ascii="方正仿宋_GBK" w:hAnsi="宋体" w:eastAsia="方正仿宋_GBK"/>
          <w:sz w:val="24"/>
          <w:highlight w:val="none"/>
        </w:rPr>
      </w:pPr>
      <w:r>
        <w:rPr>
          <w:rFonts w:hint="eastAsia" w:ascii="方正仿宋_GBK" w:hAnsi="仿宋" w:eastAsia="方正仿宋_GBK"/>
          <w:sz w:val="24"/>
          <w:highlight w:val="none"/>
        </w:rPr>
        <w:t>（七）</w:t>
      </w:r>
      <w:r>
        <w:rPr>
          <w:rFonts w:hint="eastAsia" w:ascii="方正仿宋_GBK" w:hAnsi="仿宋" w:eastAsia="方正仿宋_GBK"/>
          <w:sz w:val="24"/>
          <w:highlight w:val="none"/>
          <w:lang w:eastAsia="zh-CN"/>
        </w:rPr>
        <w:t>比选申请人</w:t>
      </w:r>
      <w:r>
        <w:rPr>
          <w:rFonts w:hint="eastAsia" w:ascii="方正仿宋_GBK" w:hAnsi="仿宋" w:eastAsia="方正仿宋_GBK"/>
          <w:sz w:val="24"/>
          <w:highlight w:val="none"/>
        </w:rPr>
        <w:t>未参加开标的，视同认可开标结果。</w:t>
      </w:r>
    </w:p>
    <w:p>
      <w:pPr>
        <w:pStyle w:val="8"/>
        <w:spacing w:line="400" w:lineRule="exact"/>
        <w:ind w:firstLine="480" w:firstLineChars="200"/>
        <w:rPr>
          <w:rFonts w:hint="eastAsia" w:ascii="仿宋" w:hAnsi="仿宋" w:eastAsia="仿宋" w:cs="仿宋"/>
          <w:sz w:val="24"/>
          <w:highlight w:val="none"/>
        </w:rPr>
      </w:pPr>
    </w:p>
    <w:p>
      <w:pPr>
        <w:pStyle w:val="4"/>
        <w:spacing w:line="400" w:lineRule="exact"/>
        <w:ind w:firstLine="482" w:firstLineChars="200"/>
        <w:rPr>
          <w:rFonts w:hint="eastAsia" w:ascii="仿宋" w:hAnsi="仿宋" w:eastAsia="仿宋" w:cs="仿宋"/>
          <w:b/>
          <w:sz w:val="24"/>
          <w:highlight w:val="none"/>
        </w:rPr>
      </w:pPr>
      <w:bookmarkStart w:id="114" w:name="_Toc309"/>
      <w:bookmarkStart w:id="115" w:name="_Toc10131"/>
      <w:bookmarkStart w:id="116" w:name="_Toc921"/>
      <w:r>
        <w:rPr>
          <w:rFonts w:hint="eastAsia" w:ascii="仿宋" w:hAnsi="仿宋" w:eastAsia="仿宋" w:cs="仿宋"/>
          <w:b/>
          <w:sz w:val="24"/>
          <w:highlight w:val="none"/>
        </w:rPr>
        <w:t>五、评标</w:t>
      </w:r>
      <w:bookmarkEnd w:id="114"/>
      <w:bookmarkEnd w:id="115"/>
      <w:bookmarkEnd w:id="116"/>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见第四篇“评标”内容。</w:t>
      </w:r>
    </w:p>
    <w:p>
      <w:pPr>
        <w:pStyle w:val="4"/>
        <w:spacing w:line="400" w:lineRule="exact"/>
        <w:ind w:firstLine="482" w:firstLineChars="200"/>
        <w:rPr>
          <w:rFonts w:hint="eastAsia" w:ascii="仿宋" w:hAnsi="仿宋" w:eastAsia="仿宋" w:cs="仿宋"/>
          <w:b/>
          <w:sz w:val="24"/>
          <w:highlight w:val="none"/>
        </w:rPr>
      </w:pPr>
      <w:bookmarkStart w:id="117" w:name="_Toc1480"/>
      <w:bookmarkStart w:id="118" w:name="_Toc15184"/>
      <w:bookmarkStart w:id="119" w:name="_Toc2310"/>
      <w:r>
        <w:rPr>
          <w:rFonts w:hint="eastAsia" w:ascii="仿宋" w:hAnsi="仿宋" w:eastAsia="仿宋" w:cs="仿宋"/>
          <w:b/>
          <w:sz w:val="24"/>
          <w:highlight w:val="none"/>
        </w:rPr>
        <w:t>六、定标</w:t>
      </w:r>
      <w:bookmarkEnd w:id="117"/>
      <w:r>
        <w:rPr>
          <w:rFonts w:hint="eastAsia" w:ascii="仿宋" w:hAnsi="仿宋" w:eastAsia="仿宋" w:cs="仿宋"/>
          <w:b/>
          <w:sz w:val="24"/>
          <w:highlight w:val="none"/>
        </w:rPr>
        <w:t>、</w:t>
      </w:r>
      <w:r>
        <w:rPr>
          <w:rFonts w:hint="eastAsia" w:ascii="仿宋" w:hAnsi="仿宋" w:eastAsia="仿宋" w:cs="仿宋"/>
          <w:b/>
          <w:sz w:val="24"/>
          <w:highlight w:val="none"/>
          <w:lang w:eastAsia="zh-CN"/>
        </w:rPr>
        <w:t>中选</w:t>
      </w:r>
      <w:r>
        <w:rPr>
          <w:rFonts w:hint="eastAsia" w:ascii="仿宋" w:hAnsi="仿宋" w:eastAsia="仿宋" w:cs="仿宋"/>
          <w:b/>
          <w:sz w:val="24"/>
          <w:highlight w:val="none"/>
        </w:rPr>
        <w:t>公示及</w:t>
      </w:r>
      <w:r>
        <w:rPr>
          <w:rFonts w:hint="eastAsia" w:ascii="仿宋" w:hAnsi="仿宋" w:eastAsia="仿宋" w:cs="仿宋"/>
          <w:b/>
          <w:sz w:val="24"/>
          <w:highlight w:val="none"/>
          <w:lang w:eastAsia="zh-CN"/>
        </w:rPr>
        <w:t>中选</w:t>
      </w:r>
      <w:r>
        <w:rPr>
          <w:rFonts w:hint="eastAsia" w:ascii="仿宋" w:hAnsi="仿宋" w:eastAsia="仿宋" w:cs="仿宋"/>
          <w:b/>
          <w:sz w:val="24"/>
          <w:highlight w:val="none"/>
        </w:rPr>
        <w:t>通知</w:t>
      </w:r>
      <w:bookmarkEnd w:id="118"/>
      <w:bookmarkEnd w:id="119"/>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（一）定标原则</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或其授权的评审小组应按照评审报告中推荐的</w:t>
      </w:r>
      <w:r>
        <w:rPr>
          <w:rFonts w:hint="eastAsia" w:ascii="仿宋" w:hAnsi="仿宋" w:eastAsia="仿宋" w:cs="仿宋"/>
          <w:sz w:val="24"/>
          <w:highlight w:val="none"/>
          <w:lang w:eastAsia="zh-CN"/>
        </w:rPr>
        <w:t>中选</w:t>
      </w:r>
      <w:r>
        <w:rPr>
          <w:rFonts w:hint="eastAsia" w:ascii="仿宋" w:hAnsi="仿宋" w:eastAsia="仿宋" w:cs="仿宋"/>
          <w:sz w:val="24"/>
          <w:highlight w:val="none"/>
        </w:rPr>
        <w:t>候选</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排名顺序确定</w:t>
      </w:r>
      <w:r>
        <w:rPr>
          <w:rFonts w:hint="eastAsia" w:ascii="仿宋" w:hAnsi="仿宋" w:eastAsia="仿宋" w:cs="仿宋"/>
          <w:sz w:val="24"/>
          <w:highlight w:val="none"/>
          <w:lang w:eastAsia="zh-CN"/>
        </w:rPr>
        <w:t>中选人</w:t>
      </w:r>
      <w:r>
        <w:rPr>
          <w:rFonts w:hint="eastAsia" w:ascii="仿宋" w:hAnsi="仿宋" w:eastAsia="仿宋" w:cs="仿宋"/>
          <w:sz w:val="24"/>
          <w:highlight w:val="none"/>
        </w:rPr>
        <w:t>。</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中选</w:t>
      </w:r>
      <w:r>
        <w:rPr>
          <w:rFonts w:hint="eastAsia" w:ascii="仿宋" w:hAnsi="仿宋" w:eastAsia="仿宋" w:cs="仿宋"/>
          <w:sz w:val="24"/>
          <w:highlight w:val="none"/>
        </w:rPr>
        <w:t>候选</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并列的，由</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或者</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委托评审小组按照技术需求的优劣顺序排列；技术需求优劣顺序相同的，按商务条款的优劣顺序排列确定</w:t>
      </w:r>
      <w:r>
        <w:rPr>
          <w:rFonts w:hint="eastAsia" w:ascii="仿宋" w:hAnsi="仿宋" w:eastAsia="仿宋" w:cs="仿宋"/>
          <w:sz w:val="24"/>
          <w:highlight w:val="none"/>
          <w:lang w:eastAsia="zh-CN"/>
        </w:rPr>
        <w:t>中选人</w:t>
      </w:r>
      <w:r>
        <w:rPr>
          <w:rFonts w:hint="eastAsia" w:ascii="仿宋" w:hAnsi="仿宋" w:eastAsia="仿宋" w:cs="仿宋"/>
          <w:sz w:val="24"/>
          <w:highlight w:val="none"/>
        </w:rPr>
        <w:t>。</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中选人</w:t>
      </w:r>
      <w:r>
        <w:rPr>
          <w:rFonts w:hint="eastAsia" w:ascii="仿宋" w:hAnsi="仿宋" w:eastAsia="仿宋" w:cs="仿宋"/>
          <w:sz w:val="24"/>
          <w:highlight w:val="none"/>
        </w:rPr>
        <w:t>变更</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中选人</w:t>
      </w:r>
      <w:r>
        <w:rPr>
          <w:rFonts w:hint="eastAsia" w:ascii="仿宋" w:hAnsi="仿宋" w:eastAsia="仿宋" w:cs="仿宋"/>
          <w:sz w:val="24"/>
          <w:highlight w:val="none"/>
        </w:rPr>
        <w:t>拒绝与</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签订合同的，</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可以按照评审报告推荐的</w:t>
      </w:r>
      <w:r>
        <w:rPr>
          <w:rFonts w:hint="eastAsia" w:ascii="仿宋" w:hAnsi="仿宋" w:eastAsia="仿宋" w:cs="仿宋"/>
          <w:sz w:val="24"/>
          <w:highlight w:val="none"/>
          <w:lang w:eastAsia="zh-CN"/>
        </w:rPr>
        <w:t>中选</w:t>
      </w:r>
      <w:r>
        <w:rPr>
          <w:rFonts w:hint="eastAsia" w:ascii="仿宋" w:hAnsi="仿宋" w:eastAsia="仿宋" w:cs="仿宋"/>
          <w:sz w:val="24"/>
          <w:highlight w:val="none"/>
        </w:rPr>
        <w:t>候选</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顺序，确定排名下一位的候选</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为</w:t>
      </w:r>
      <w:r>
        <w:rPr>
          <w:rFonts w:hint="eastAsia" w:ascii="仿宋" w:hAnsi="仿宋" w:eastAsia="仿宋" w:cs="仿宋"/>
          <w:sz w:val="24"/>
          <w:highlight w:val="none"/>
          <w:lang w:eastAsia="zh-CN"/>
        </w:rPr>
        <w:t>中选人</w:t>
      </w:r>
      <w:r>
        <w:rPr>
          <w:rFonts w:hint="eastAsia" w:ascii="仿宋" w:hAnsi="仿宋" w:eastAsia="仿宋" w:cs="仿宋"/>
          <w:sz w:val="24"/>
          <w:highlight w:val="none"/>
        </w:rPr>
        <w:t>，也可以重新开展采购活动。</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w:t>
      </w:r>
      <w:r>
        <w:rPr>
          <w:rFonts w:hint="eastAsia" w:ascii="仿宋" w:hAnsi="仿宋" w:eastAsia="仿宋" w:cs="仿宋"/>
          <w:sz w:val="24"/>
          <w:highlight w:val="none"/>
          <w:lang w:eastAsia="zh-CN"/>
        </w:rPr>
        <w:t>中选</w:t>
      </w:r>
      <w:r>
        <w:rPr>
          <w:rFonts w:hint="eastAsia" w:ascii="仿宋" w:hAnsi="仿宋" w:eastAsia="仿宋" w:cs="仿宋"/>
          <w:sz w:val="24"/>
          <w:highlight w:val="none"/>
        </w:rPr>
        <w:t>公示及</w:t>
      </w:r>
      <w:r>
        <w:rPr>
          <w:rFonts w:hint="eastAsia" w:ascii="仿宋" w:hAnsi="仿宋" w:eastAsia="仿宋" w:cs="仿宋"/>
          <w:sz w:val="24"/>
          <w:highlight w:val="none"/>
          <w:lang w:eastAsia="zh-CN"/>
        </w:rPr>
        <w:t>中选</w:t>
      </w:r>
      <w:r>
        <w:rPr>
          <w:rFonts w:hint="eastAsia" w:ascii="仿宋" w:hAnsi="仿宋" w:eastAsia="仿宋" w:cs="仿宋"/>
          <w:sz w:val="24"/>
          <w:highlight w:val="none"/>
        </w:rPr>
        <w:t>通知</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在收到评标报告之日起3日内在</w:t>
      </w:r>
      <w:r>
        <w:rPr>
          <w:rFonts w:hint="eastAsia" w:ascii="仿宋" w:hAnsi="仿宋" w:eastAsia="仿宋" w:cs="仿宋"/>
          <w:sz w:val="24"/>
          <w:szCs w:val="24"/>
          <w:highlight w:val="none"/>
        </w:rPr>
        <w:t>中国招标投标公共服务平台（http://www.cebpubservice.com/）</w:t>
      </w:r>
      <w:r>
        <w:rPr>
          <w:rFonts w:hint="eastAsia" w:ascii="仿宋" w:hAnsi="仿宋" w:eastAsia="仿宋" w:cs="仿宋"/>
          <w:sz w:val="24"/>
          <w:szCs w:val="24"/>
          <w:highlight w:val="none"/>
          <w:lang w:val="en-US" w:eastAsia="zh-CN"/>
        </w:rPr>
        <w:t>以及重庆两江新区人民医院官网（https://www.ljxqrmyy.cn/index.shtml）</w:t>
      </w:r>
      <w:r>
        <w:rPr>
          <w:rFonts w:hint="eastAsia" w:ascii="仿宋" w:hAnsi="仿宋" w:eastAsia="仿宋" w:cs="仿宋"/>
          <w:sz w:val="24"/>
          <w:highlight w:val="none"/>
        </w:rPr>
        <w:t>上公示中选候选人，公示期不得少于1日。</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在本竞争性比选文件规定的竞标有效期内，且未有</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的异议与投诉，</w:t>
      </w:r>
      <w:r>
        <w:rPr>
          <w:rFonts w:hint="eastAsia" w:ascii="仿宋" w:hAnsi="仿宋" w:eastAsia="仿宋" w:cs="仿宋"/>
          <w:sz w:val="24"/>
          <w:highlight w:val="none"/>
          <w:lang w:eastAsia="zh-CN"/>
        </w:rPr>
        <w:t>采购代理机构</w:t>
      </w:r>
      <w:r>
        <w:rPr>
          <w:rFonts w:hint="eastAsia" w:ascii="仿宋" w:hAnsi="仿宋" w:eastAsia="仿宋" w:cs="仿宋"/>
          <w:sz w:val="24"/>
          <w:highlight w:val="none"/>
        </w:rPr>
        <w:t>以书面形式向中选人发出中选通知书。</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（三）中选人变更</w:t>
      </w:r>
    </w:p>
    <w:p>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采购人</w:t>
      </w:r>
      <w:r>
        <w:rPr>
          <w:rFonts w:hint="eastAsia" w:ascii="仿宋" w:hAnsi="仿宋" w:eastAsia="仿宋" w:cs="仿宋"/>
          <w:sz w:val="24"/>
          <w:highlight w:val="none"/>
        </w:rPr>
        <w:t>应当确定排名第一的中选候选人为中选人。排名第一的中选候选人放弃中选、因不可抗力不能履行合同、不按照竞争性比选文件要求提交履约保证金，或者被查实存在影响中选结果的违法行为等情形，不符合中选条件的，</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可以按照竞争性比选小组提出的中选候选人名单排序依次确定其他中选候选人为中选人，也可以重新竞争性比选。</w:t>
      </w:r>
    </w:p>
    <w:p>
      <w:pPr>
        <w:pStyle w:val="4"/>
        <w:spacing w:line="400" w:lineRule="exact"/>
        <w:ind w:firstLine="482" w:firstLineChars="200"/>
        <w:rPr>
          <w:rFonts w:hint="eastAsia" w:ascii="仿宋" w:hAnsi="仿宋" w:eastAsia="仿宋" w:cs="仿宋"/>
          <w:b/>
          <w:sz w:val="24"/>
          <w:highlight w:val="none"/>
        </w:rPr>
      </w:pPr>
      <w:bookmarkStart w:id="120" w:name="_Toc32332"/>
      <w:bookmarkStart w:id="121" w:name="_Toc8102"/>
      <w:r>
        <w:rPr>
          <w:rFonts w:hint="eastAsia" w:ascii="仿宋" w:hAnsi="仿宋" w:eastAsia="仿宋" w:cs="仿宋"/>
          <w:b/>
          <w:sz w:val="24"/>
          <w:highlight w:val="none"/>
        </w:rPr>
        <w:t>七、</w:t>
      </w:r>
      <w:bookmarkEnd w:id="120"/>
      <w:r>
        <w:rPr>
          <w:rFonts w:hint="eastAsia" w:ascii="仿宋" w:hAnsi="仿宋" w:eastAsia="仿宋" w:cs="仿宋"/>
          <w:b/>
          <w:sz w:val="24"/>
          <w:highlight w:val="none"/>
        </w:rPr>
        <w:t>比选代理服务费</w:t>
      </w:r>
      <w:bookmarkEnd w:id="121"/>
    </w:p>
    <w:p>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en-US" w:eastAsia="zh-CN"/>
        </w:rPr>
        <w:t>中选人</w:t>
      </w:r>
      <w:r>
        <w:rPr>
          <w:rFonts w:hint="eastAsia" w:ascii="仿宋" w:hAnsi="仿宋" w:eastAsia="仿宋" w:cs="仿宋"/>
          <w:color w:val="auto"/>
          <w:sz w:val="24"/>
          <w:highlight w:val="none"/>
        </w:rPr>
        <w:t>向采购代理机构</w:t>
      </w:r>
      <w:r>
        <w:rPr>
          <w:rFonts w:hint="eastAsia" w:ascii="仿宋" w:hAnsi="仿宋" w:eastAsia="仿宋" w:cs="仿宋"/>
          <w:color w:val="auto"/>
          <w:sz w:val="24"/>
          <w:highlight w:val="none"/>
          <w:lang w:val="en-US" w:eastAsia="zh-CN"/>
        </w:rPr>
        <w:t>按中选金额的1.5%</w:t>
      </w:r>
      <w:r>
        <w:rPr>
          <w:rFonts w:hint="eastAsia" w:ascii="仿宋" w:hAnsi="仿宋" w:eastAsia="仿宋" w:cs="仿宋"/>
          <w:color w:val="auto"/>
          <w:sz w:val="24"/>
          <w:highlight w:val="none"/>
        </w:rPr>
        <w:t>缴纳采购代理服务费</w:t>
      </w:r>
      <w:r>
        <w:rPr>
          <w:rFonts w:hint="eastAsia" w:ascii="仿宋" w:hAnsi="仿宋" w:eastAsia="仿宋" w:cs="仿宋"/>
          <w:color w:val="auto"/>
          <w:sz w:val="24"/>
          <w:highlight w:val="none"/>
          <w:lang w:val="en-US" w:eastAsia="zh-CN"/>
        </w:rPr>
        <w:t>，与本项目其他分包进行金额分摊，合计金额不足3000元的按3000元进行收取</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（二）采购代理服务费缴纳账号：</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户  名：</w:t>
      </w:r>
      <w:r>
        <w:rPr>
          <w:rFonts w:hint="eastAsia" w:ascii="仿宋" w:hAnsi="仿宋" w:eastAsia="仿宋" w:cs="仿宋"/>
          <w:color w:val="auto"/>
          <w:sz w:val="24"/>
          <w:highlight w:val="none"/>
          <w:lang w:val="en-US" w:eastAsia="zh-CN"/>
        </w:rPr>
        <w:t>重庆和定招标代理有限责任公司大渡口区分公司</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开户行：中国银行股份有限公司石子山支行</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lang w:val="en-US" w:eastAsia="zh-CN"/>
        </w:rPr>
        <w:t>账  号：1116 8630 0990</w:t>
      </w:r>
    </w:p>
    <w:p>
      <w:pPr>
        <w:pStyle w:val="4"/>
        <w:spacing w:line="400" w:lineRule="exact"/>
        <w:ind w:firstLine="482" w:firstLineChars="200"/>
        <w:rPr>
          <w:rFonts w:hint="eastAsia" w:ascii="仿宋" w:hAnsi="仿宋" w:eastAsia="仿宋" w:cs="仿宋"/>
          <w:b/>
          <w:sz w:val="24"/>
          <w:highlight w:val="none"/>
        </w:rPr>
      </w:pPr>
      <w:bookmarkStart w:id="122" w:name="_Toc29888"/>
      <w:bookmarkStart w:id="123" w:name="_Toc594"/>
      <w:r>
        <w:rPr>
          <w:rFonts w:hint="eastAsia" w:ascii="仿宋" w:hAnsi="仿宋" w:eastAsia="仿宋" w:cs="仿宋"/>
          <w:b/>
          <w:sz w:val="24"/>
          <w:highlight w:val="none"/>
        </w:rPr>
        <w:t>八、签订合同</w:t>
      </w:r>
      <w:bookmarkEnd w:id="122"/>
      <w:bookmarkEnd w:id="123"/>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应当自中选通知书发出之日起</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十日内，按照竞争性比选文件和</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竞争性比选申请文件的约定，与</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签订书面合同。所签订的合同不得对竞争性比选文件和</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竞争性比选申请文件作实质性修改。</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无正当理由拒签合同的，取消其中选资格；给</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造成损失的，</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还应当予以赔偿。</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（二）发出中选通知书后，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无正当理由拒签合同，给</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造成损失的，还应当赔偿损失。因不可抗力或政府决议导致不能签订合同的，则免除</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赔偿责任。</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（三）竞争性比选文件、</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的竞争性比选申请文件及澄清文件等，均为签订合同的依据。</w:t>
      </w:r>
    </w:p>
    <w:p>
      <w:pPr>
        <w:spacing w:line="400" w:lineRule="exact"/>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rPr>
        <w:t>（四）合同生效条款由供需双方约定，法律、行政法规规定应当办理批准、登记等手续后生效的合同，依照其规定</w:t>
      </w:r>
      <w:r>
        <w:rPr>
          <w:rFonts w:hint="eastAsia" w:ascii="仿宋" w:hAnsi="仿宋" w:eastAsia="仿宋" w:cs="仿宋"/>
          <w:sz w:val="24"/>
          <w:highlight w:val="none"/>
        </w:rPr>
        <w:t>。</w:t>
      </w:r>
    </w:p>
    <w:p>
      <w:pPr>
        <w:pStyle w:val="3"/>
        <w:spacing w:before="0" w:beforeLines="0" w:after="0" w:afterLines="0" w:line="360" w:lineRule="auto"/>
        <w:rPr>
          <w:rFonts w:hint="eastAsia" w:ascii="仿宋" w:hAnsi="仿宋" w:eastAsia="仿宋" w:cs="仿宋"/>
          <w:b/>
          <w:highlight w:val="none"/>
        </w:rPr>
      </w:pPr>
      <w:r>
        <w:rPr>
          <w:rFonts w:hint="eastAsia" w:ascii="仿宋" w:hAnsi="仿宋" w:eastAsia="仿宋" w:cs="仿宋"/>
          <w:highlight w:val="none"/>
        </w:rPr>
        <w:br w:type="page"/>
      </w:r>
      <w:bookmarkStart w:id="124" w:name="_Toc16758"/>
      <w:r>
        <w:rPr>
          <w:rFonts w:hint="eastAsia" w:ascii="仿宋" w:hAnsi="仿宋" w:eastAsia="仿宋" w:cs="仿宋"/>
          <w:b/>
          <w:highlight w:val="none"/>
        </w:rPr>
        <w:t>第六篇  合同主要条款和格式合同（参考样本）</w:t>
      </w:r>
      <w:bookmarkEnd w:id="124"/>
    </w:p>
    <w:p>
      <w:pPr>
        <w:pStyle w:val="4"/>
        <w:spacing w:line="500" w:lineRule="exact"/>
        <w:ind w:firstLine="482" w:firstLineChars="200"/>
        <w:rPr>
          <w:rFonts w:hint="eastAsia" w:ascii="仿宋" w:hAnsi="仿宋" w:eastAsia="仿宋" w:cs="仿宋"/>
          <w:b/>
          <w:sz w:val="24"/>
          <w:highlight w:val="none"/>
        </w:rPr>
      </w:pPr>
      <w:bookmarkStart w:id="125" w:name="_Toc277084870"/>
      <w:bookmarkStart w:id="126" w:name="_Toc285722712"/>
      <w:bookmarkStart w:id="127" w:name="_Toc26525"/>
      <w:bookmarkStart w:id="128" w:name="_Toc29300"/>
      <w:bookmarkStart w:id="129" w:name="_Toc285722713"/>
      <w:bookmarkStart w:id="130" w:name="_Toc277084871"/>
      <w:r>
        <w:rPr>
          <w:rFonts w:hint="eastAsia" w:ascii="仿宋" w:hAnsi="仿宋" w:eastAsia="仿宋" w:cs="仿宋"/>
          <w:b/>
          <w:sz w:val="24"/>
          <w:highlight w:val="none"/>
        </w:rPr>
        <w:t>一、</w:t>
      </w:r>
      <w:bookmarkEnd w:id="125"/>
      <w:bookmarkEnd w:id="126"/>
      <w:bookmarkEnd w:id="127"/>
      <w:r>
        <w:rPr>
          <w:rFonts w:hint="eastAsia" w:ascii="仿宋" w:hAnsi="仿宋" w:eastAsia="仿宋" w:cs="仿宋"/>
          <w:b/>
          <w:sz w:val="24"/>
          <w:highlight w:val="none"/>
        </w:rPr>
        <w:t>采购合同（格式）</w:t>
      </w:r>
      <w:bookmarkEnd w:id="128"/>
    </w:p>
    <w:p>
      <w:pPr>
        <w:rPr>
          <w:rFonts w:hint="eastAsia" w:ascii="仿宋" w:hAnsi="仿宋" w:eastAsia="仿宋" w:cs="仿宋"/>
          <w:highlight w:val="none"/>
        </w:rPr>
      </w:pPr>
    </w:p>
    <w:bookmarkEnd w:id="129"/>
    <w:bookmarkEnd w:id="130"/>
    <w:p>
      <w:pPr>
        <w:spacing w:line="500" w:lineRule="exact"/>
        <w:jc w:val="center"/>
        <w:rPr>
          <w:rFonts w:hint="eastAsia" w:ascii="仿宋" w:hAnsi="仿宋" w:eastAsia="仿宋" w:cs="仿宋"/>
          <w:b/>
          <w:sz w:val="44"/>
          <w:highlight w:val="none"/>
        </w:rPr>
      </w:pPr>
      <w:r>
        <w:rPr>
          <w:rFonts w:hint="eastAsia" w:ascii="仿宋" w:hAnsi="仿宋" w:eastAsia="仿宋" w:cs="仿宋"/>
          <w:b/>
          <w:sz w:val="44"/>
          <w:highlight w:val="none"/>
        </w:rPr>
        <w:t>采购合同</w:t>
      </w:r>
    </w:p>
    <w:p>
      <w:pPr>
        <w:spacing w:line="500" w:lineRule="exact"/>
        <w:jc w:val="center"/>
        <w:rPr>
          <w:rFonts w:hint="eastAsia" w:ascii="仿宋" w:hAnsi="仿宋" w:eastAsia="仿宋" w:cs="仿宋"/>
          <w:highlight w:val="none"/>
        </w:rPr>
      </w:pPr>
      <w:r>
        <w:rPr>
          <w:rFonts w:hint="eastAsia" w:ascii="仿宋" w:hAnsi="仿宋" w:eastAsia="仿宋" w:cs="仿宋"/>
          <w:highlight w:val="none"/>
        </w:rPr>
        <w:t>（项目编号：     ）</w:t>
      </w:r>
    </w:p>
    <w:p>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pPr>
        <w:spacing w:line="50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pPr>
        <w:spacing w:line="500" w:lineRule="exact"/>
        <w:rPr>
          <w:rFonts w:hint="eastAsia" w:ascii="仿宋" w:hAnsi="仿宋" w:eastAsia="仿宋" w:cs="仿宋"/>
          <w:sz w:val="24"/>
          <w:highlight w:val="none"/>
        </w:rPr>
      </w:pPr>
    </w:p>
    <w:p>
      <w:pPr>
        <w:spacing w:line="50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322"/>
        <w:gridCol w:w="851"/>
        <w:gridCol w:w="708"/>
        <w:gridCol w:w="1276"/>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2322" w:type="dxa"/>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服务内容</w:t>
            </w: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276" w:type="dxa"/>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服务期限</w:t>
            </w:r>
          </w:p>
        </w:tc>
        <w:tc>
          <w:tcPr>
            <w:tcW w:w="1567" w:type="dxa"/>
            <w:noWrap w:val="0"/>
            <w:vAlign w:val="center"/>
          </w:tcPr>
          <w:p>
            <w:pPr>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pPr>
              <w:spacing w:line="240" w:lineRule="atLeast"/>
              <w:jc w:val="center"/>
              <w:rPr>
                <w:rFonts w:hint="eastAsia" w:ascii="仿宋" w:hAnsi="仿宋" w:eastAsia="仿宋" w:cs="仿宋"/>
                <w:sz w:val="21"/>
                <w:szCs w:val="21"/>
                <w:highlight w:val="none"/>
              </w:rPr>
            </w:pPr>
          </w:p>
        </w:tc>
        <w:tc>
          <w:tcPr>
            <w:tcW w:w="2322" w:type="dxa"/>
            <w:noWrap w:val="0"/>
            <w:vAlign w:val="center"/>
          </w:tcPr>
          <w:p>
            <w:pPr>
              <w:spacing w:line="240" w:lineRule="atLeast"/>
              <w:jc w:val="center"/>
              <w:rPr>
                <w:rFonts w:hint="eastAsia" w:ascii="仿宋" w:hAnsi="仿宋" w:eastAsia="仿宋" w:cs="仿宋"/>
                <w:sz w:val="21"/>
                <w:szCs w:val="21"/>
                <w:highlight w:val="none"/>
              </w:rPr>
            </w:pPr>
          </w:p>
        </w:tc>
        <w:tc>
          <w:tcPr>
            <w:tcW w:w="1559" w:type="dxa"/>
            <w:gridSpan w:val="2"/>
            <w:noWrap w:val="0"/>
            <w:vAlign w:val="center"/>
          </w:tcPr>
          <w:p>
            <w:pPr>
              <w:spacing w:line="240" w:lineRule="atLeast"/>
              <w:jc w:val="center"/>
              <w:rPr>
                <w:rFonts w:hint="eastAsia" w:ascii="仿宋" w:hAnsi="仿宋" w:eastAsia="仿宋" w:cs="仿宋"/>
                <w:sz w:val="21"/>
                <w:szCs w:val="21"/>
                <w:highlight w:val="none"/>
              </w:rPr>
            </w:pPr>
          </w:p>
        </w:tc>
        <w:tc>
          <w:tcPr>
            <w:tcW w:w="1276" w:type="dxa"/>
            <w:noWrap w:val="0"/>
            <w:vAlign w:val="center"/>
          </w:tcPr>
          <w:p>
            <w:pPr>
              <w:spacing w:line="240" w:lineRule="atLeast"/>
              <w:jc w:val="center"/>
              <w:rPr>
                <w:rFonts w:hint="eastAsia" w:ascii="仿宋" w:hAnsi="仿宋" w:eastAsia="仿宋" w:cs="仿宋"/>
                <w:sz w:val="21"/>
                <w:szCs w:val="21"/>
                <w:highlight w:val="none"/>
              </w:rPr>
            </w:pPr>
          </w:p>
        </w:tc>
        <w:tc>
          <w:tcPr>
            <w:tcW w:w="1559" w:type="dxa"/>
            <w:noWrap w:val="0"/>
            <w:vAlign w:val="center"/>
          </w:tcPr>
          <w:p>
            <w:pPr>
              <w:spacing w:line="240" w:lineRule="atLeast"/>
              <w:jc w:val="center"/>
              <w:rPr>
                <w:rFonts w:hint="eastAsia" w:ascii="仿宋" w:hAnsi="仿宋" w:eastAsia="仿宋" w:cs="仿宋"/>
                <w:sz w:val="21"/>
                <w:szCs w:val="21"/>
                <w:highlight w:val="none"/>
              </w:rPr>
            </w:pPr>
          </w:p>
        </w:tc>
        <w:tc>
          <w:tcPr>
            <w:tcW w:w="1567" w:type="dxa"/>
            <w:noWrap w:val="0"/>
            <w:vAlign w:val="center"/>
          </w:tcPr>
          <w:p>
            <w:pPr>
              <w:spacing w:line="240" w:lineRule="atLeast"/>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二、付款方式：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三、其他条款：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四、违约责任：</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按《中华人民共和国民法典》、</w:t>
            </w:r>
            <w:r>
              <w:rPr>
                <w:rFonts w:hint="eastAsia" w:ascii="仿宋" w:hAnsi="仿宋" w:eastAsia="仿宋" w:cs="仿宋"/>
                <w:color w:val="auto"/>
                <w:sz w:val="21"/>
                <w:szCs w:val="21"/>
                <w:highlight w:val="none"/>
              </w:rPr>
              <w:t>《中华人民共和国</w:t>
            </w:r>
            <w:r>
              <w:rPr>
                <w:rFonts w:hint="eastAsia" w:ascii="仿宋" w:hAnsi="仿宋" w:eastAsia="仿宋" w:cs="仿宋"/>
                <w:color w:val="auto"/>
                <w:sz w:val="21"/>
                <w:szCs w:val="21"/>
                <w:highlight w:val="none"/>
                <w:lang w:val="en-US" w:eastAsia="zh-CN"/>
              </w:rPr>
              <w:t>招标投标法</w:t>
            </w:r>
            <w:r>
              <w:rPr>
                <w:rFonts w:hint="eastAsia" w:ascii="仿宋" w:hAnsi="仿宋" w:eastAsia="仿宋" w:cs="仿宋"/>
                <w:color w:val="auto"/>
                <w:sz w:val="21"/>
                <w:szCs w:val="21"/>
                <w:highlight w:val="none"/>
              </w:rPr>
              <w:t>》</w:t>
            </w:r>
            <w:r>
              <w:rPr>
                <w:rFonts w:hint="eastAsia" w:ascii="仿宋" w:hAnsi="仿宋" w:eastAsia="仿宋" w:cs="仿宋"/>
                <w:sz w:val="21"/>
                <w:szCs w:val="21"/>
                <w:highlight w:val="none"/>
              </w:rPr>
              <w:t>执行，或按双方约定。（</w:t>
            </w:r>
            <w:r>
              <w:rPr>
                <w:rFonts w:hint="eastAsia" w:ascii="仿宋" w:hAnsi="仿宋" w:eastAsia="仿宋" w:cs="仿宋"/>
                <w:sz w:val="21"/>
                <w:szCs w:val="21"/>
                <w:highlight w:val="none"/>
                <w:lang w:eastAsia="zh-CN"/>
              </w:rPr>
              <w:t>采购人</w:t>
            </w:r>
            <w:r>
              <w:rPr>
                <w:rFonts w:hint="eastAsia" w:ascii="仿宋" w:hAnsi="仿宋" w:eastAsia="仿宋" w:cs="仿宋"/>
                <w:sz w:val="21"/>
                <w:szCs w:val="21"/>
                <w:highlight w:val="none"/>
              </w:rPr>
              <w:t>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五、其他约定事项：</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1.竞争性比选文件及其澄清文件、</w:t>
            </w:r>
            <w:r>
              <w:rPr>
                <w:rFonts w:hint="eastAsia" w:ascii="仿宋" w:hAnsi="仿宋" w:eastAsia="仿宋" w:cs="仿宋"/>
                <w:sz w:val="21"/>
                <w:szCs w:val="21"/>
                <w:highlight w:val="none"/>
                <w:lang w:eastAsia="zh-CN"/>
              </w:rPr>
              <w:t>申请文件</w:t>
            </w:r>
            <w:r>
              <w:rPr>
                <w:rFonts w:hint="eastAsia" w:ascii="仿宋" w:hAnsi="仿宋" w:eastAsia="仿宋" w:cs="仿宋"/>
                <w:sz w:val="21"/>
                <w:szCs w:val="21"/>
                <w:highlight w:val="none"/>
              </w:rPr>
              <w:t>和承诺是本合同不可分割的部分。</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2.本合同如发生争议由双方协商解决，协商不成向需方所在地人民法院提起诉讼。</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需方__份，供方__份，具备同等法律效力。</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需方：</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5125" w:type="dxa"/>
            <w:gridSpan w:val="5"/>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供方：</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p>
            <w:pPr>
              <w:widowControl/>
              <w:spacing w:line="240" w:lineRule="atLeas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pacing w:line="240" w:lineRule="atLeast"/>
              <w:rPr>
                <w:rFonts w:hint="eastAsia" w:ascii="仿宋" w:hAnsi="仿宋" w:eastAsia="仿宋" w:cs="仿宋"/>
                <w:sz w:val="21"/>
                <w:szCs w:val="21"/>
                <w:highlight w:val="none"/>
              </w:rPr>
            </w:pPr>
          </w:p>
          <w:p>
            <w:pPr>
              <w:spacing w:line="240" w:lineRule="atLeast"/>
              <w:rPr>
                <w:rFonts w:hint="eastAsia" w:ascii="仿宋" w:hAnsi="仿宋" w:eastAsia="仿宋" w:cs="仿宋"/>
                <w:sz w:val="21"/>
                <w:szCs w:val="21"/>
                <w:highlight w:val="none"/>
              </w:rPr>
            </w:pPr>
          </w:p>
        </w:tc>
      </w:tr>
    </w:tbl>
    <w:p>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签约时间：           年   月   日      签约地点：</w:t>
      </w:r>
    </w:p>
    <w:p>
      <w:pPr>
        <w:spacing w:line="500" w:lineRule="exact"/>
        <w:ind w:firstLine="560" w:firstLineChars="200"/>
        <w:rPr>
          <w:rFonts w:hint="eastAsia" w:ascii="仿宋" w:hAnsi="仿宋" w:eastAsia="仿宋" w:cs="仿宋"/>
          <w:highlight w:val="none"/>
        </w:rPr>
        <w:sectPr>
          <w:pgSz w:w="11907" w:h="16840"/>
          <w:pgMar w:top="1134" w:right="1191" w:bottom="1134" w:left="1304" w:header="964" w:footer="992" w:gutter="0"/>
          <w:pgNumType w:fmt="numberInDash"/>
          <w:cols w:space="720" w:num="1"/>
          <w:docGrid w:linePitch="312" w:charSpace="0"/>
        </w:sectPr>
      </w:pPr>
    </w:p>
    <w:p>
      <w:pPr>
        <w:pStyle w:val="3"/>
        <w:spacing w:before="0" w:beforeLines="0" w:after="0" w:afterLines="0" w:line="360" w:lineRule="auto"/>
        <w:rPr>
          <w:rFonts w:hint="eastAsia" w:ascii="仿宋" w:hAnsi="仿宋" w:eastAsia="仿宋" w:cs="仿宋"/>
          <w:b/>
          <w:highlight w:val="none"/>
        </w:rPr>
      </w:pPr>
      <w:bookmarkStart w:id="131" w:name="_Toc26759"/>
      <w:r>
        <w:rPr>
          <w:rFonts w:hint="eastAsia" w:ascii="仿宋" w:hAnsi="仿宋" w:eastAsia="仿宋" w:cs="仿宋"/>
          <w:b/>
          <w:highlight w:val="none"/>
        </w:rPr>
        <w:t xml:space="preserve">第七篇  </w:t>
      </w:r>
      <w:r>
        <w:rPr>
          <w:rFonts w:hint="eastAsia" w:ascii="仿宋" w:hAnsi="仿宋" w:eastAsia="仿宋" w:cs="仿宋"/>
          <w:b/>
          <w:highlight w:val="none"/>
          <w:lang w:eastAsia="zh-CN"/>
        </w:rPr>
        <w:t>申请文件</w:t>
      </w:r>
      <w:r>
        <w:rPr>
          <w:rFonts w:hint="eastAsia" w:ascii="仿宋" w:hAnsi="仿宋" w:eastAsia="仿宋" w:cs="仿宋"/>
          <w:b/>
          <w:highlight w:val="none"/>
        </w:rPr>
        <w:t>格式</w:t>
      </w:r>
      <w:bookmarkEnd w:id="131"/>
    </w:p>
    <w:p>
      <w:pPr>
        <w:tabs>
          <w:tab w:val="left" w:pos="3360"/>
        </w:tabs>
        <w:spacing w:line="360" w:lineRule="auto"/>
        <w:rPr>
          <w:rFonts w:hint="eastAsia" w:ascii="仿宋" w:hAnsi="仿宋" w:eastAsia="仿宋" w:cs="仿宋"/>
          <w:b/>
          <w:highlight w:val="none"/>
        </w:rPr>
      </w:pPr>
      <w:r>
        <w:rPr>
          <w:rFonts w:hint="eastAsia" w:ascii="仿宋" w:hAnsi="仿宋" w:eastAsia="仿宋" w:cs="仿宋"/>
          <w:b/>
          <w:highlight w:val="none"/>
        </w:rPr>
        <w:br w:type="page"/>
      </w:r>
      <w:r>
        <w:rPr>
          <w:rFonts w:hint="eastAsia" w:ascii="仿宋" w:hAnsi="仿宋" w:eastAsia="仿宋" w:cs="仿宋"/>
          <w:sz w:val="44"/>
          <w:highlight w:val="none"/>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233680</wp:posOffset>
                </wp:positionV>
                <wp:extent cx="2156460" cy="7010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56460" cy="701040"/>
                        </a:xfrm>
                        <a:prstGeom prst="rect">
                          <a:avLst/>
                        </a:prstGeom>
                        <a:noFill/>
                        <a:ln>
                          <a:noFill/>
                        </a:ln>
                      </wps:spPr>
                      <wps:txbx>
                        <w:txbxContent>
                          <w:p>
                            <w:pPr>
                              <w:rPr>
                                <w:rFonts w:hint="eastAsia"/>
                                <w:b/>
                                <w:bCs/>
                                <w:sz w:val="48"/>
                                <w:szCs w:val="48"/>
                              </w:rPr>
                            </w:pPr>
                            <w:r>
                              <w:rPr>
                                <w:rFonts w:hint="eastAsia"/>
                                <w:b/>
                                <w:bCs/>
                                <w:sz w:val="48"/>
                                <w:szCs w:val="48"/>
                              </w:rPr>
                              <w:t>正本/副本</w:t>
                            </w:r>
                          </w:p>
                        </w:txbxContent>
                      </wps:txbx>
                      <wps:bodyPr upright="1"/>
                    </wps:wsp>
                  </a:graphicData>
                </a:graphic>
              </wp:anchor>
            </w:drawing>
          </mc:Choice>
          <mc:Fallback>
            <w:pict>
              <v:shape id="_x0000_s1026" o:spid="_x0000_s1026" o:spt="202" type="#_x0000_t202" style="position:absolute;left:0pt;margin-left:-4.55pt;margin-top:18.4pt;height:55.2pt;width:169.8pt;z-index:251659264;mso-width-relative:page;mso-height-relative:page;" filled="f" stroked="f" coordsize="21600,21600" o:gfxdata="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cRzdtcAAAAJ&#10;AQAADwAAAAAAAAABACAAAAAiAAAAZHJzL2Rvd25yZXYueG1sUEsBAhQAFAAAAAgAh07iQKufpiar&#10;AQAATgMAAA4AAAAAAAAAAQAgAAAAJgEAAGRycy9lMm9Eb2MueG1sUEsFBgAAAAAGAAYAWQEAAEMF&#10;AAAAAA==&#10;">
                <v:fill on="f" focussize="0,0"/>
                <v:stroke on="f"/>
                <v:imagedata o:title=""/>
                <o:lock v:ext="edit" aspectratio="f"/>
                <v:textbox>
                  <w:txbxContent>
                    <w:p>
                      <w:pPr>
                        <w:rPr>
                          <w:rFonts w:hint="eastAsia"/>
                          <w:b/>
                          <w:bCs/>
                          <w:sz w:val="48"/>
                          <w:szCs w:val="48"/>
                        </w:rPr>
                      </w:pPr>
                      <w:r>
                        <w:rPr>
                          <w:rFonts w:hint="eastAsia"/>
                          <w:b/>
                          <w:bCs/>
                          <w:sz w:val="48"/>
                          <w:szCs w:val="48"/>
                        </w:rPr>
                        <w:t>正本/副本</w:t>
                      </w:r>
                    </w:p>
                  </w:txbxContent>
                </v:textbox>
              </v:shape>
            </w:pict>
          </mc:Fallback>
        </mc:AlternateContent>
      </w:r>
    </w:p>
    <w:p>
      <w:pPr>
        <w:tabs>
          <w:tab w:val="left" w:pos="3360"/>
        </w:tabs>
        <w:spacing w:line="360" w:lineRule="auto"/>
        <w:rPr>
          <w:rFonts w:hint="eastAsia" w:ascii="仿宋" w:hAnsi="仿宋" w:eastAsia="仿宋" w:cs="仿宋"/>
          <w:b/>
          <w:highlight w:val="none"/>
        </w:rPr>
      </w:pPr>
    </w:p>
    <w:p>
      <w:pPr>
        <w:tabs>
          <w:tab w:val="left" w:pos="3360"/>
        </w:tabs>
        <w:spacing w:line="360" w:lineRule="auto"/>
        <w:rPr>
          <w:rFonts w:hint="eastAsia" w:ascii="仿宋" w:hAnsi="仿宋" w:eastAsia="仿宋" w:cs="仿宋"/>
          <w:b/>
          <w:sz w:val="52"/>
          <w:szCs w:val="52"/>
          <w:highlight w:val="none"/>
        </w:rPr>
      </w:pPr>
    </w:p>
    <w:p>
      <w:pPr>
        <w:tabs>
          <w:tab w:val="left" w:pos="3360"/>
        </w:tabs>
        <w:spacing w:line="360" w:lineRule="auto"/>
        <w:rPr>
          <w:rFonts w:hint="eastAsia" w:ascii="仿宋" w:hAnsi="仿宋" w:eastAsia="仿宋" w:cs="仿宋"/>
          <w:b/>
          <w:sz w:val="52"/>
          <w:szCs w:val="52"/>
          <w:highlight w:val="none"/>
        </w:rPr>
      </w:pPr>
    </w:p>
    <w:p>
      <w:pPr>
        <w:tabs>
          <w:tab w:val="left" w:pos="3360"/>
        </w:tabs>
        <w:spacing w:line="360" w:lineRule="auto"/>
        <w:jc w:val="center"/>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申请文件</w:t>
      </w:r>
    </w:p>
    <w:p>
      <w:pPr>
        <w:tabs>
          <w:tab w:val="left" w:pos="3360"/>
        </w:tabs>
        <w:spacing w:line="360" w:lineRule="auto"/>
        <w:jc w:val="center"/>
        <w:rPr>
          <w:rFonts w:hint="eastAsia" w:ascii="仿宋" w:hAnsi="仿宋" w:eastAsia="仿宋" w:cs="仿宋"/>
          <w:b/>
          <w:sz w:val="52"/>
          <w:szCs w:val="52"/>
          <w:highlight w:val="none"/>
        </w:rPr>
      </w:pPr>
    </w:p>
    <w:p>
      <w:pPr>
        <w:rPr>
          <w:rFonts w:hint="eastAsia" w:ascii="仿宋" w:hAnsi="仿宋" w:eastAsia="仿宋" w:cs="仿宋"/>
          <w:b/>
          <w:highlight w:val="none"/>
        </w:rPr>
      </w:pPr>
    </w:p>
    <w:p>
      <w:pPr>
        <w:rPr>
          <w:rFonts w:hint="eastAsia" w:ascii="仿宋" w:hAnsi="仿宋" w:eastAsia="仿宋" w:cs="仿宋"/>
          <w:b/>
          <w:highlight w:val="none"/>
        </w:rPr>
      </w:pPr>
    </w:p>
    <w:p>
      <w:pPr>
        <w:rPr>
          <w:rFonts w:hint="eastAsia" w:ascii="仿宋" w:hAnsi="仿宋" w:eastAsia="仿宋" w:cs="仿宋"/>
          <w:b/>
          <w:highlight w:val="none"/>
        </w:rPr>
      </w:pPr>
    </w:p>
    <w:p>
      <w:pPr>
        <w:rPr>
          <w:rFonts w:hint="eastAsia" w:ascii="仿宋" w:hAnsi="仿宋" w:eastAsia="仿宋" w:cs="仿宋"/>
          <w:b/>
          <w:highlight w:val="none"/>
        </w:rPr>
      </w:pPr>
    </w:p>
    <w:p>
      <w:pPr>
        <w:rPr>
          <w:rFonts w:hint="eastAsia" w:ascii="仿宋" w:hAnsi="仿宋" w:eastAsia="仿宋" w:cs="仿宋"/>
          <w:b/>
          <w:highlight w:val="none"/>
        </w:rPr>
      </w:pPr>
    </w:p>
    <w:p>
      <w:pPr>
        <w:rPr>
          <w:rFonts w:hint="eastAsia" w:ascii="仿宋" w:hAnsi="仿宋" w:eastAsia="仿宋" w:cs="仿宋"/>
          <w:b/>
          <w:highlight w:val="none"/>
        </w:rPr>
      </w:pP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ind w:firstLine="1719" w:firstLineChars="535"/>
        <w:rPr>
          <w:rFonts w:hint="eastAsia" w:ascii="仿宋" w:hAnsi="仿宋" w:eastAsia="仿宋" w:cs="仿宋"/>
          <w:b/>
          <w:sz w:val="32"/>
          <w:szCs w:val="32"/>
          <w:highlight w:val="none"/>
        </w:rPr>
      </w:pPr>
      <w:r>
        <w:rPr>
          <w:rFonts w:hint="eastAsia" w:ascii="仿宋" w:hAnsi="仿宋" w:eastAsia="仿宋" w:cs="仿宋"/>
          <w:b/>
          <w:sz w:val="32"/>
          <w:szCs w:val="32"/>
          <w:highlight w:val="none"/>
        </w:rPr>
        <w:t>项目编号：</w:t>
      </w:r>
    </w:p>
    <w:p>
      <w:pPr>
        <w:snapToGrid w:val="0"/>
        <w:spacing w:line="440" w:lineRule="exact"/>
        <w:ind w:firstLine="1719" w:firstLineChars="535"/>
        <w:rPr>
          <w:rFonts w:hint="eastAsia" w:ascii="仿宋" w:hAnsi="仿宋" w:eastAsia="仿宋" w:cs="仿宋"/>
          <w:b/>
          <w:sz w:val="32"/>
          <w:szCs w:val="32"/>
          <w:highlight w:val="none"/>
        </w:rPr>
      </w:pPr>
      <w:r>
        <w:rPr>
          <w:rFonts w:hint="eastAsia" w:ascii="仿宋" w:hAnsi="仿宋" w:eastAsia="仿宋" w:cs="仿宋"/>
          <w:b/>
          <w:sz w:val="32"/>
          <w:szCs w:val="32"/>
          <w:highlight w:val="none"/>
        </w:rPr>
        <w:t>项目名称：</w:t>
      </w: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ind w:firstLine="1719" w:firstLineChars="535"/>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供应商</w:t>
      </w:r>
      <w:r>
        <w:rPr>
          <w:rFonts w:hint="eastAsia" w:ascii="仿宋" w:hAnsi="仿宋" w:eastAsia="仿宋" w:cs="仿宋"/>
          <w:b/>
          <w:sz w:val="32"/>
          <w:szCs w:val="32"/>
          <w:highlight w:val="none"/>
        </w:rPr>
        <w:t>名称：</w:t>
      </w:r>
    </w:p>
    <w:p>
      <w:pPr>
        <w:snapToGrid w:val="0"/>
        <w:spacing w:line="440" w:lineRule="exact"/>
        <w:ind w:firstLine="1719" w:firstLineChars="535"/>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供应商</w:t>
      </w:r>
      <w:r>
        <w:rPr>
          <w:rFonts w:hint="eastAsia" w:ascii="仿宋" w:hAnsi="仿宋" w:eastAsia="仿宋" w:cs="仿宋"/>
          <w:b/>
          <w:sz w:val="32"/>
          <w:szCs w:val="32"/>
          <w:highlight w:val="none"/>
        </w:rPr>
        <w:t>地址：</w:t>
      </w: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rPr>
          <w:rFonts w:hint="eastAsia" w:ascii="仿宋" w:hAnsi="仿宋" w:eastAsia="仿宋" w:cs="仿宋"/>
          <w:b/>
          <w:sz w:val="32"/>
          <w:szCs w:val="32"/>
          <w:highlight w:val="none"/>
        </w:rPr>
      </w:pPr>
    </w:p>
    <w:p>
      <w:pPr>
        <w:snapToGrid w:val="0"/>
        <w:spacing w:line="440" w:lineRule="exact"/>
        <w:ind w:firstLine="1719" w:firstLineChars="535"/>
        <w:rPr>
          <w:rFonts w:hint="eastAsia" w:ascii="仿宋" w:hAnsi="仿宋" w:eastAsia="仿宋" w:cs="仿宋"/>
          <w:b/>
          <w:sz w:val="32"/>
          <w:szCs w:val="32"/>
          <w:highlight w:val="none"/>
        </w:rPr>
      </w:pPr>
    </w:p>
    <w:p>
      <w:pPr>
        <w:snapToGrid w:val="0"/>
        <w:spacing w:line="440" w:lineRule="exact"/>
        <w:ind w:left="560" w:leftChars="200" w:firstLine="643" w:firstLineChars="200"/>
        <w:rPr>
          <w:rFonts w:hint="eastAsia" w:ascii="仿宋" w:hAnsi="仿宋" w:eastAsia="仿宋" w:cs="仿宋"/>
          <w:b/>
          <w:sz w:val="24"/>
          <w:szCs w:val="24"/>
          <w:highlight w:val="none"/>
        </w:rPr>
      </w:pPr>
      <w:r>
        <w:rPr>
          <w:rFonts w:hint="eastAsia" w:ascii="仿宋" w:hAnsi="仿宋" w:eastAsia="仿宋" w:cs="仿宋"/>
          <w:b/>
          <w:sz w:val="32"/>
          <w:szCs w:val="32"/>
          <w:highlight w:val="none"/>
        </w:rPr>
        <w:t>日期：</w:t>
      </w:r>
      <w:r>
        <w:rPr>
          <w:rFonts w:hint="eastAsia" w:ascii="仿宋" w:hAnsi="仿宋" w:eastAsia="仿宋" w:cs="仿宋"/>
          <w:b/>
          <w:sz w:val="32"/>
          <w:szCs w:val="32"/>
          <w:highlight w:val="none"/>
        </w:rPr>
        <w:br w:type="page"/>
      </w:r>
      <w:r>
        <w:rPr>
          <w:rFonts w:hint="eastAsia" w:ascii="仿宋" w:hAnsi="仿宋" w:eastAsia="仿宋" w:cs="仿宋"/>
          <w:b/>
          <w:sz w:val="24"/>
          <w:szCs w:val="24"/>
          <w:highlight w:val="none"/>
        </w:rPr>
        <w:t>一、经济文件</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（二）分项报价明细表</w:t>
      </w:r>
    </w:p>
    <w:p>
      <w:pPr>
        <w:snapToGrid w:val="0"/>
        <w:spacing w:line="440" w:lineRule="exact"/>
        <w:ind w:left="0" w:leftChars="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二、资格文件</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（一）营业执照（副本）或事业单位法人证书（副本）复印件</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（二）组织机构代码证复印件</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（三）法定代表人身份证明书（格式）</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（四）法定代表人授权委托书（格式）</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（五）法定代表人社保证明材料</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（六）法定代表人未缴纳社保情况说明（格式）</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（七）书面声明</w:t>
      </w:r>
    </w:p>
    <w:p>
      <w:pPr>
        <w:snapToGrid w:val="0"/>
        <w:spacing w:line="440" w:lineRule="exact"/>
        <w:ind w:left="0" w:leftChars="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三、服务文件</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（一）服务条款差异表</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（二）服务部分评分证明材料（如有）</w:t>
      </w:r>
    </w:p>
    <w:p>
      <w:pPr>
        <w:snapToGrid w:val="0"/>
        <w:spacing w:line="440" w:lineRule="exact"/>
        <w:ind w:left="0" w:leftChars="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四、商务文件</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（一）竞标函（格式）</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（二）商务条款差异表</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（三）商务承诺（包括但不限于）</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（四）商务部分评分证明材料（如有）</w:t>
      </w:r>
    </w:p>
    <w:p>
      <w:pPr>
        <w:snapToGrid w:val="0"/>
        <w:spacing w:line="440" w:lineRule="exact"/>
        <w:ind w:left="0" w:leftChars="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五、其他</w:t>
      </w:r>
    </w:p>
    <w:p>
      <w:pPr>
        <w:snapToGrid w:val="0"/>
        <w:spacing w:line="440" w:lineRule="exact"/>
        <w:ind w:left="560" w:leftChars="200"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（一）其他与项目有关的资料（自附）</w:t>
      </w:r>
    </w:p>
    <w:p>
      <w:pPr>
        <w:snapToGrid w:val="0"/>
        <w:spacing w:line="440" w:lineRule="exact"/>
        <w:ind w:firstLine="964" w:firstLineChars="400"/>
        <w:rPr>
          <w:rFonts w:hint="eastAsia" w:ascii="仿宋" w:hAnsi="仿宋" w:eastAsia="仿宋" w:cs="仿宋"/>
          <w:sz w:val="24"/>
          <w:szCs w:val="24"/>
          <w:highlight w:val="none"/>
        </w:rPr>
      </w:pPr>
      <w:r>
        <w:rPr>
          <w:rFonts w:hint="eastAsia" w:ascii="仿宋" w:hAnsi="仿宋" w:eastAsia="仿宋" w:cs="仿宋"/>
          <w:b/>
          <w:sz w:val="24"/>
          <w:szCs w:val="24"/>
          <w:highlight w:val="none"/>
        </w:rPr>
        <w:t>（二）《反商业贿赂承诺书》</w:t>
      </w:r>
    </w:p>
    <w:p>
      <w:pPr>
        <w:pStyle w:val="4"/>
        <w:pageBreakBefore/>
        <w:spacing w:line="500" w:lineRule="exact"/>
        <w:rPr>
          <w:rFonts w:hint="eastAsia" w:ascii="仿宋" w:hAnsi="仿宋" w:eastAsia="仿宋" w:cs="仿宋"/>
          <w:b/>
          <w:szCs w:val="28"/>
          <w:highlight w:val="none"/>
        </w:rPr>
      </w:pPr>
      <w:bookmarkStart w:id="132" w:name="_Toc16342"/>
      <w:bookmarkStart w:id="133" w:name="_Toc492721037"/>
      <w:bookmarkStart w:id="134" w:name="_Toc429584884"/>
      <w:r>
        <w:rPr>
          <w:rFonts w:hint="eastAsia" w:ascii="仿宋" w:hAnsi="仿宋" w:eastAsia="仿宋" w:cs="仿宋"/>
          <w:b/>
          <w:szCs w:val="28"/>
          <w:highlight w:val="none"/>
        </w:rPr>
        <w:t>一、经济文件</w:t>
      </w:r>
      <w:bookmarkEnd w:id="132"/>
      <w:bookmarkEnd w:id="133"/>
      <w:bookmarkEnd w:id="134"/>
    </w:p>
    <w:p>
      <w:pPr>
        <w:snapToGrid w:val="0"/>
        <w:spacing w:line="500" w:lineRule="exact"/>
        <w:jc w:val="center"/>
        <w:rPr>
          <w:rFonts w:hint="eastAsia" w:ascii="仿宋" w:hAnsi="仿宋" w:eastAsia="仿宋" w:cs="仿宋"/>
          <w:szCs w:val="36"/>
          <w:highlight w:val="none"/>
        </w:rPr>
      </w:pPr>
      <w:r>
        <w:rPr>
          <w:rFonts w:hint="eastAsia" w:ascii="仿宋" w:hAnsi="仿宋" w:eastAsia="仿宋" w:cs="仿宋"/>
          <w:szCs w:val="36"/>
          <w:highlight w:val="none"/>
        </w:rPr>
        <w:t>（一）开标一览表</w:t>
      </w:r>
    </w:p>
    <w:p>
      <w:pPr>
        <w:spacing w:line="500" w:lineRule="exact"/>
        <w:ind w:firstLine="240" w:firstLineChars="100"/>
        <w:rPr>
          <w:rFonts w:hint="eastAsia" w:ascii="仿宋" w:hAnsi="仿宋" w:eastAsia="仿宋" w:cs="仿宋"/>
          <w:sz w:val="24"/>
          <w:szCs w:val="28"/>
          <w:highlight w:val="none"/>
        </w:rPr>
      </w:pPr>
      <w:r>
        <w:rPr>
          <w:rFonts w:hint="eastAsia" w:ascii="仿宋" w:hAnsi="仿宋" w:eastAsia="仿宋" w:cs="仿宋"/>
          <w:sz w:val="24"/>
          <w:szCs w:val="28"/>
          <w:highlight w:val="none"/>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288"/>
        <w:gridCol w:w="1884"/>
        <w:gridCol w:w="1368"/>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仿宋" w:hAnsi="仿宋" w:eastAsia="仿宋" w:cs="仿宋"/>
                <w:sz w:val="21"/>
                <w:szCs w:val="28"/>
                <w:highlight w:val="none"/>
              </w:rPr>
            </w:pPr>
            <w:r>
              <w:rPr>
                <w:rFonts w:hint="eastAsia" w:ascii="仿宋" w:hAnsi="仿宋" w:eastAsia="仿宋" w:cs="仿宋"/>
                <w:sz w:val="21"/>
                <w:szCs w:val="28"/>
                <w:highlight w:val="none"/>
                <w:lang w:eastAsia="zh-CN"/>
              </w:rPr>
              <w:t>供应商</w:t>
            </w:r>
            <w:r>
              <w:rPr>
                <w:rFonts w:hint="eastAsia" w:ascii="仿宋" w:hAnsi="仿宋" w:eastAsia="仿宋" w:cs="仿宋"/>
                <w:sz w:val="21"/>
                <w:szCs w:val="28"/>
                <w:highlight w:val="none"/>
              </w:rPr>
              <w:t>名称</w:t>
            </w:r>
          </w:p>
        </w:tc>
        <w:tc>
          <w:tcPr>
            <w:tcW w:w="7840" w:type="dxa"/>
            <w:gridSpan w:val="4"/>
            <w:noWrap w:val="0"/>
            <w:vAlign w:val="center"/>
          </w:tcPr>
          <w:p>
            <w:pPr>
              <w:spacing w:line="500" w:lineRule="exact"/>
              <w:jc w:val="center"/>
              <w:rPr>
                <w:rFonts w:hint="eastAsia" w:ascii="仿宋" w:hAnsi="仿宋" w:eastAsia="仿宋" w:cs="仿宋"/>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pPr>
              <w:spacing w:line="500" w:lineRule="exact"/>
              <w:jc w:val="center"/>
              <w:rPr>
                <w:rFonts w:hint="eastAsia" w:ascii="仿宋" w:hAnsi="仿宋" w:eastAsia="仿宋" w:cs="仿宋"/>
                <w:sz w:val="21"/>
                <w:szCs w:val="28"/>
                <w:highlight w:val="none"/>
              </w:rPr>
            </w:pPr>
            <w:r>
              <w:rPr>
                <w:rFonts w:hint="eastAsia" w:ascii="仿宋" w:hAnsi="仿宋" w:eastAsia="仿宋" w:cs="仿宋"/>
                <w:sz w:val="21"/>
                <w:szCs w:val="28"/>
                <w:highlight w:val="none"/>
              </w:rPr>
              <w:t>分包号</w:t>
            </w:r>
          </w:p>
        </w:tc>
        <w:tc>
          <w:tcPr>
            <w:tcW w:w="3288" w:type="dxa"/>
            <w:noWrap w:val="0"/>
            <w:vAlign w:val="center"/>
          </w:tcPr>
          <w:p>
            <w:pPr>
              <w:spacing w:line="500" w:lineRule="exact"/>
              <w:jc w:val="center"/>
              <w:rPr>
                <w:rFonts w:hint="eastAsia" w:ascii="仿宋" w:hAnsi="仿宋" w:eastAsia="仿宋" w:cs="仿宋"/>
                <w:sz w:val="21"/>
                <w:szCs w:val="28"/>
                <w:highlight w:val="none"/>
              </w:rPr>
            </w:pPr>
            <w:r>
              <w:rPr>
                <w:rFonts w:hint="eastAsia" w:ascii="仿宋" w:hAnsi="仿宋" w:eastAsia="仿宋" w:cs="仿宋"/>
                <w:sz w:val="21"/>
                <w:szCs w:val="28"/>
                <w:highlight w:val="none"/>
              </w:rPr>
              <w:t>项目名称</w:t>
            </w:r>
          </w:p>
        </w:tc>
        <w:tc>
          <w:tcPr>
            <w:tcW w:w="1884" w:type="dxa"/>
            <w:noWrap w:val="0"/>
            <w:vAlign w:val="center"/>
          </w:tcPr>
          <w:p>
            <w:pPr>
              <w:snapToGrid w:val="0"/>
              <w:spacing w:line="240" w:lineRule="atLeast"/>
              <w:rPr>
                <w:rFonts w:hint="eastAsia" w:ascii="仿宋" w:hAnsi="仿宋" w:eastAsia="仿宋" w:cs="仿宋"/>
                <w:sz w:val="21"/>
                <w:szCs w:val="28"/>
                <w:highlight w:val="none"/>
              </w:rPr>
            </w:pPr>
            <w:r>
              <w:rPr>
                <w:rFonts w:hint="eastAsia" w:ascii="仿宋" w:hAnsi="仿宋" w:eastAsia="仿宋" w:cs="仿宋"/>
                <w:sz w:val="21"/>
                <w:szCs w:val="28"/>
                <w:highlight w:val="none"/>
              </w:rPr>
              <w:t>竞标报价（小写）</w:t>
            </w:r>
          </w:p>
        </w:tc>
        <w:tc>
          <w:tcPr>
            <w:tcW w:w="1368" w:type="dxa"/>
            <w:noWrap w:val="0"/>
            <w:vAlign w:val="center"/>
          </w:tcPr>
          <w:p>
            <w:pPr>
              <w:spacing w:line="500" w:lineRule="exact"/>
              <w:jc w:val="center"/>
              <w:rPr>
                <w:rFonts w:hint="eastAsia" w:ascii="仿宋" w:hAnsi="仿宋" w:eastAsia="仿宋" w:cs="仿宋"/>
                <w:sz w:val="21"/>
                <w:szCs w:val="28"/>
                <w:highlight w:val="none"/>
              </w:rPr>
            </w:pPr>
            <w:r>
              <w:rPr>
                <w:rFonts w:hint="eastAsia" w:ascii="仿宋" w:hAnsi="仿宋" w:eastAsia="仿宋" w:cs="仿宋"/>
                <w:sz w:val="21"/>
                <w:szCs w:val="28"/>
                <w:highlight w:val="none"/>
              </w:rPr>
              <w:t>服务期限</w:t>
            </w:r>
          </w:p>
        </w:tc>
        <w:tc>
          <w:tcPr>
            <w:tcW w:w="1300" w:type="dxa"/>
            <w:noWrap w:val="0"/>
            <w:vAlign w:val="center"/>
          </w:tcPr>
          <w:p>
            <w:pPr>
              <w:spacing w:line="500" w:lineRule="exact"/>
              <w:jc w:val="center"/>
              <w:rPr>
                <w:rFonts w:hint="eastAsia" w:ascii="仿宋" w:hAnsi="仿宋" w:eastAsia="仿宋" w:cs="仿宋"/>
                <w:sz w:val="21"/>
                <w:szCs w:val="28"/>
                <w:highlight w:val="none"/>
              </w:rPr>
            </w:pPr>
            <w:r>
              <w:rPr>
                <w:rFonts w:hint="eastAsia" w:ascii="仿宋" w:hAnsi="仿宋" w:eastAsia="仿宋" w:cs="仿宋"/>
                <w:sz w:val="21"/>
                <w:szCs w:val="28"/>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noWrap w:val="0"/>
            <w:vAlign w:val="center"/>
          </w:tcPr>
          <w:p>
            <w:pPr>
              <w:spacing w:line="500" w:lineRule="exact"/>
              <w:jc w:val="center"/>
              <w:rPr>
                <w:rFonts w:hint="default" w:ascii="仿宋" w:hAnsi="仿宋" w:eastAsia="仿宋" w:cs="仿宋"/>
                <w:sz w:val="21"/>
                <w:szCs w:val="28"/>
                <w:highlight w:val="none"/>
                <w:lang w:val="en-US" w:eastAsia="zh-CN"/>
              </w:rPr>
            </w:pPr>
            <w:r>
              <w:rPr>
                <w:rFonts w:hint="eastAsia" w:ascii="仿宋" w:hAnsi="仿宋" w:eastAsia="仿宋" w:cs="仿宋"/>
                <w:sz w:val="21"/>
                <w:szCs w:val="28"/>
                <w:highlight w:val="none"/>
                <w:lang w:val="en-US" w:eastAsia="zh-CN"/>
              </w:rPr>
              <w:t>01</w:t>
            </w:r>
          </w:p>
        </w:tc>
        <w:tc>
          <w:tcPr>
            <w:tcW w:w="3288" w:type="dxa"/>
            <w:tcBorders>
              <w:bottom w:val="single" w:color="auto" w:sz="4" w:space="0"/>
            </w:tcBorders>
            <w:noWrap w:val="0"/>
            <w:vAlign w:val="top"/>
          </w:tcPr>
          <w:p>
            <w:pPr>
              <w:spacing w:line="500" w:lineRule="exact"/>
              <w:rPr>
                <w:rFonts w:hint="eastAsia" w:ascii="仿宋" w:hAnsi="仿宋" w:eastAsia="仿宋" w:cs="仿宋"/>
                <w:sz w:val="21"/>
                <w:szCs w:val="28"/>
                <w:highlight w:val="none"/>
              </w:rPr>
            </w:pPr>
          </w:p>
        </w:tc>
        <w:tc>
          <w:tcPr>
            <w:tcW w:w="1884" w:type="dxa"/>
            <w:tcBorders>
              <w:bottom w:val="single" w:color="auto" w:sz="4" w:space="0"/>
            </w:tcBorders>
            <w:noWrap w:val="0"/>
            <w:vAlign w:val="top"/>
          </w:tcPr>
          <w:p>
            <w:pPr>
              <w:spacing w:line="500" w:lineRule="exact"/>
              <w:rPr>
                <w:rFonts w:hint="eastAsia" w:ascii="仿宋" w:hAnsi="仿宋" w:eastAsia="仿宋" w:cs="仿宋"/>
                <w:sz w:val="21"/>
                <w:szCs w:val="28"/>
                <w:highlight w:val="none"/>
              </w:rPr>
            </w:pPr>
          </w:p>
        </w:tc>
        <w:tc>
          <w:tcPr>
            <w:tcW w:w="1368" w:type="dxa"/>
            <w:tcBorders>
              <w:bottom w:val="single" w:color="auto" w:sz="4" w:space="0"/>
            </w:tcBorders>
            <w:noWrap w:val="0"/>
            <w:vAlign w:val="top"/>
          </w:tcPr>
          <w:p>
            <w:pPr>
              <w:spacing w:line="500" w:lineRule="exact"/>
              <w:rPr>
                <w:rFonts w:hint="eastAsia" w:ascii="仿宋" w:hAnsi="仿宋" w:eastAsia="仿宋" w:cs="仿宋"/>
                <w:sz w:val="21"/>
                <w:szCs w:val="28"/>
                <w:highlight w:val="none"/>
              </w:rPr>
            </w:pPr>
          </w:p>
        </w:tc>
        <w:tc>
          <w:tcPr>
            <w:tcW w:w="1300" w:type="dxa"/>
            <w:tcBorders>
              <w:bottom w:val="single" w:color="auto" w:sz="4" w:space="0"/>
            </w:tcBorders>
            <w:noWrap w:val="0"/>
            <w:vAlign w:val="top"/>
          </w:tcPr>
          <w:p>
            <w:pPr>
              <w:spacing w:line="500" w:lineRule="exact"/>
              <w:rPr>
                <w:rFonts w:hint="eastAsia" w:ascii="仿宋" w:hAnsi="仿宋" w:eastAsia="仿宋" w:cs="仿宋"/>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5"/>
            <w:tcBorders>
              <w:bottom w:val="single" w:color="auto" w:sz="4" w:space="0"/>
            </w:tcBorders>
            <w:noWrap w:val="0"/>
            <w:vAlign w:val="center"/>
          </w:tcPr>
          <w:p>
            <w:pPr>
              <w:spacing w:line="560" w:lineRule="exact"/>
              <w:rPr>
                <w:rFonts w:hint="eastAsia" w:ascii="仿宋" w:hAnsi="仿宋" w:eastAsia="仿宋" w:cs="仿宋"/>
                <w:sz w:val="21"/>
                <w:szCs w:val="28"/>
                <w:highlight w:val="none"/>
              </w:rPr>
            </w:pPr>
            <w:r>
              <w:rPr>
                <w:rFonts w:hint="eastAsia" w:ascii="仿宋" w:hAnsi="仿宋" w:eastAsia="仿宋" w:cs="仿宋"/>
                <w:sz w:val="21"/>
                <w:szCs w:val="28"/>
                <w:highlight w:val="none"/>
              </w:rPr>
              <w:t xml:space="preserve">竞标报价（大写）：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5"/>
            <w:noWrap w:val="0"/>
            <w:vAlign w:val="center"/>
          </w:tcPr>
          <w:p>
            <w:pPr>
              <w:pStyle w:val="9"/>
              <w:spacing w:line="500" w:lineRule="exact"/>
              <w:rPr>
                <w:rFonts w:hint="eastAsia" w:ascii="仿宋" w:hAnsi="仿宋" w:eastAsia="仿宋" w:cs="仿宋"/>
                <w:sz w:val="21"/>
                <w:szCs w:val="28"/>
                <w:highlight w:val="none"/>
              </w:rPr>
            </w:pPr>
            <w:r>
              <w:rPr>
                <w:rFonts w:hint="eastAsia" w:ascii="仿宋" w:hAnsi="仿宋" w:eastAsia="仿宋" w:cs="仿宋"/>
                <w:sz w:val="21"/>
                <w:szCs w:val="28"/>
                <w:highlight w:val="none"/>
              </w:rPr>
              <w:t xml:space="preserve">备注： </w:t>
            </w:r>
          </w:p>
        </w:tc>
      </w:tr>
    </w:tbl>
    <w:p>
      <w:pPr>
        <w:pStyle w:val="9"/>
        <w:spacing w:line="500" w:lineRule="exact"/>
        <w:rPr>
          <w:rFonts w:hint="eastAsia" w:ascii="仿宋" w:hAnsi="仿宋" w:eastAsia="仿宋" w:cs="仿宋"/>
          <w:sz w:val="24"/>
          <w:szCs w:val="28"/>
          <w:highlight w:val="none"/>
        </w:rPr>
      </w:pPr>
    </w:p>
    <w:p>
      <w:pPr>
        <w:rPr>
          <w:rFonts w:hint="eastAsia" w:ascii="仿宋" w:hAnsi="仿宋" w:eastAsia="仿宋" w:cs="仿宋"/>
          <w:highlight w:val="none"/>
        </w:rPr>
      </w:pPr>
    </w:p>
    <w:p>
      <w:pPr>
        <w:spacing w:line="500" w:lineRule="exact"/>
        <w:rPr>
          <w:rFonts w:hint="eastAsia" w:ascii="仿宋" w:hAnsi="仿宋" w:eastAsia="仿宋" w:cs="仿宋"/>
          <w:sz w:val="24"/>
          <w:szCs w:val="28"/>
          <w:highlight w:val="none"/>
        </w:rPr>
      </w:pPr>
    </w:p>
    <w:p>
      <w:pPr>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 xml:space="preserve">                    法定代表人或法定代表人授权代表：</w:t>
      </w: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公章）                               （签字或盖章）</w:t>
      </w:r>
    </w:p>
    <w:p>
      <w:pPr>
        <w:spacing w:line="500" w:lineRule="exact"/>
        <w:rPr>
          <w:rFonts w:hint="eastAsia" w:ascii="仿宋" w:hAnsi="仿宋" w:eastAsia="仿宋" w:cs="仿宋"/>
          <w:sz w:val="24"/>
          <w:szCs w:val="28"/>
          <w:highlight w:val="none"/>
        </w:rPr>
      </w:pPr>
    </w:p>
    <w:p>
      <w:pPr>
        <w:spacing w:line="500" w:lineRule="exact"/>
        <w:rPr>
          <w:rFonts w:hint="eastAsia" w:ascii="仿宋" w:hAnsi="仿宋" w:eastAsia="仿宋" w:cs="仿宋"/>
          <w:sz w:val="24"/>
          <w:szCs w:val="28"/>
          <w:highlight w:val="none"/>
        </w:rPr>
      </w:pP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年     月     日</w:t>
      </w:r>
    </w:p>
    <w:p>
      <w:pPr>
        <w:snapToGrid w:val="0"/>
        <w:spacing w:line="500" w:lineRule="exact"/>
        <w:ind w:firstLine="480" w:firstLineChars="200"/>
        <w:rPr>
          <w:rFonts w:hint="eastAsia" w:ascii="仿宋" w:hAnsi="仿宋" w:eastAsia="仿宋" w:cs="仿宋"/>
          <w:sz w:val="24"/>
          <w:szCs w:val="28"/>
          <w:highlight w:val="none"/>
        </w:rPr>
      </w:pPr>
    </w:p>
    <w:p>
      <w:pPr>
        <w:snapToGrid w:val="0"/>
        <w:spacing w:line="500" w:lineRule="exact"/>
        <w:ind w:firstLine="480" w:firstLineChars="200"/>
        <w:rPr>
          <w:rFonts w:hint="eastAsia" w:ascii="仿宋" w:hAnsi="仿宋" w:eastAsia="仿宋" w:cs="仿宋"/>
          <w:sz w:val="24"/>
          <w:szCs w:val="28"/>
          <w:highlight w:val="none"/>
        </w:rPr>
      </w:pPr>
    </w:p>
    <w:p>
      <w:pPr>
        <w:snapToGrid w:val="0"/>
        <w:spacing w:line="500" w:lineRule="exact"/>
        <w:ind w:firstLine="480" w:firstLineChars="200"/>
        <w:rPr>
          <w:rFonts w:hint="eastAsia" w:ascii="仿宋" w:hAnsi="仿宋" w:eastAsia="仿宋" w:cs="仿宋"/>
          <w:sz w:val="24"/>
          <w:szCs w:val="28"/>
          <w:highlight w:val="none"/>
        </w:rPr>
      </w:pP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说明：</w:t>
      </w: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1.开标一览表按格式填列；</w:t>
      </w: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2.开标一览表在开标大会上当众宣读，务必填写清楚，准确无误；</w:t>
      </w:r>
    </w:p>
    <w:p>
      <w:pPr>
        <w:snapToGrid w:val="0"/>
        <w:spacing w:line="500" w:lineRule="exact"/>
        <w:ind w:firstLine="560" w:firstLineChars="200"/>
        <w:rPr>
          <w:rFonts w:hint="eastAsia" w:ascii="仿宋" w:hAnsi="仿宋" w:eastAsia="仿宋" w:cs="仿宋"/>
          <w:sz w:val="24"/>
          <w:szCs w:val="28"/>
          <w:highlight w:val="none"/>
        </w:rPr>
      </w:pPr>
      <w:r>
        <w:rPr>
          <w:rFonts w:hint="eastAsia" w:ascii="仿宋" w:hAnsi="仿宋" w:eastAsia="仿宋" w:cs="仿宋"/>
          <w:szCs w:val="28"/>
          <w:highlight w:val="none"/>
        </w:rPr>
        <w:br w:type="page"/>
      </w:r>
      <w:r>
        <w:rPr>
          <w:rFonts w:hint="eastAsia" w:ascii="仿宋" w:hAnsi="仿宋" w:eastAsia="仿宋" w:cs="仿宋"/>
          <w:szCs w:val="36"/>
          <w:highlight w:val="none"/>
        </w:rPr>
        <w:t>（二）分项报价明细表</w:t>
      </w: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项目编号：</w:t>
      </w: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项目名称：                                                        单位：元</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448"/>
        <w:gridCol w:w="3834"/>
        <w:gridCol w:w="1448"/>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52" w:type="pct"/>
            <w:noWrap w:val="0"/>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752" w:type="pct"/>
            <w:noWrap w:val="0"/>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名称</w:t>
            </w:r>
          </w:p>
        </w:tc>
        <w:tc>
          <w:tcPr>
            <w:tcW w:w="1991" w:type="pct"/>
            <w:noWrap w:val="0"/>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相关信息</w:t>
            </w:r>
          </w:p>
        </w:tc>
        <w:tc>
          <w:tcPr>
            <w:tcW w:w="752" w:type="pct"/>
            <w:noWrap w:val="0"/>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单价</w:t>
            </w:r>
          </w:p>
        </w:tc>
        <w:tc>
          <w:tcPr>
            <w:tcW w:w="752" w:type="pct"/>
            <w:noWrap w:val="0"/>
            <w:vAlign w:val="center"/>
          </w:tcPr>
          <w:p>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8</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752" w:type="pct"/>
            <w:noWrap w:val="0"/>
            <w:vAlign w:val="center"/>
          </w:tcPr>
          <w:p>
            <w:pPr>
              <w:jc w:val="center"/>
              <w:rPr>
                <w:rFonts w:hint="eastAsia" w:ascii="仿宋" w:hAnsi="仿宋" w:eastAsia="仿宋" w:cs="仿宋"/>
                <w:sz w:val="21"/>
                <w:szCs w:val="21"/>
                <w:highlight w:val="none"/>
              </w:rPr>
            </w:pP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752" w:type="pct"/>
            <w:noWrap w:val="0"/>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1991"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c>
          <w:tcPr>
            <w:tcW w:w="752" w:type="pct"/>
            <w:noWrap w:val="0"/>
            <w:vAlign w:val="top"/>
          </w:tcPr>
          <w:p>
            <w:pPr>
              <w:jc w:val="center"/>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52" w:type="pct"/>
            <w:noWrap w:val="0"/>
            <w:vAlign w:val="center"/>
          </w:tcPr>
          <w:p>
            <w:pPr>
              <w:pStyle w:val="7"/>
              <w:spacing w:line="240" w:lineRule="atLeast"/>
              <w:ind w:left="0"/>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12</w:t>
            </w:r>
          </w:p>
        </w:tc>
        <w:tc>
          <w:tcPr>
            <w:tcW w:w="752" w:type="pct"/>
            <w:noWrap w:val="0"/>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总计</w:t>
            </w:r>
          </w:p>
        </w:tc>
        <w:tc>
          <w:tcPr>
            <w:tcW w:w="3495" w:type="pct"/>
            <w:gridSpan w:val="3"/>
            <w:noWrap w:val="0"/>
            <w:vAlign w:val="top"/>
          </w:tcPr>
          <w:p>
            <w:pPr>
              <w:jc w:val="center"/>
              <w:rPr>
                <w:rFonts w:hint="eastAsia" w:ascii="仿宋" w:hAnsi="仿宋" w:eastAsia="仿宋" w:cs="仿宋"/>
                <w:sz w:val="21"/>
                <w:szCs w:val="21"/>
                <w:highlight w:val="none"/>
              </w:rPr>
            </w:pPr>
          </w:p>
        </w:tc>
      </w:tr>
    </w:tbl>
    <w:p>
      <w:pPr>
        <w:spacing w:line="500" w:lineRule="exact"/>
        <w:ind w:firstLine="480" w:firstLineChars="200"/>
        <w:rPr>
          <w:rFonts w:hint="eastAsia" w:ascii="仿宋" w:hAnsi="仿宋" w:eastAsia="仿宋" w:cs="仿宋"/>
          <w:sz w:val="24"/>
          <w:szCs w:val="28"/>
          <w:highlight w:val="none"/>
        </w:rPr>
      </w:pP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                           法定代表人或法定代表人授权代表：</w:t>
      </w:r>
    </w:p>
    <w:p>
      <w:pPr>
        <w:spacing w:line="500" w:lineRule="exact"/>
        <w:rPr>
          <w:rFonts w:hint="eastAsia" w:ascii="仿宋" w:hAnsi="仿宋" w:eastAsia="仿宋" w:cs="仿宋"/>
          <w:sz w:val="24"/>
          <w:szCs w:val="28"/>
          <w:highlight w:val="none"/>
        </w:rPr>
      </w:pP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公章）                               （签字或盖章）</w:t>
      </w:r>
    </w:p>
    <w:p>
      <w:pPr>
        <w:spacing w:line="500" w:lineRule="exact"/>
        <w:rPr>
          <w:rFonts w:hint="eastAsia" w:ascii="仿宋" w:hAnsi="仿宋" w:eastAsia="仿宋" w:cs="仿宋"/>
          <w:sz w:val="24"/>
          <w:szCs w:val="28"/>
          <w:highlight w:val="none"/>
        </w:rPr>
      </w:pPr>
    </w:p>
    <w:p>
      <w:pPr>
        <w:spacing w:line="500" w:lineRule="exact"/>
        <w:rPr>
          <w:rFonts w:hint="eastAsia" w:ascii="仿宋" w:hAnsi="仿宋" w:eastAsia="仿宋" w:cs="仿宋"/>
          <w:sz w:val="24"/>
          <w:szCs w:val="28"/>
          <w:highlight w:val="none"/>
        </w:rPr>
      </w:pP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年     月     日</w:t>
      </w:r>
    </w:p>
    <w:p>
      <w:pPr>
        <w:snapToGrid w:val="0"/>
        <w:spacing w:line="500" w:lineRule="exact"/>
        <w:ind w:firstLine="480" w:firstLineChars="200"/>
        <w:rPr>
          <w:rFonts w:hint="eastAsia" w:ascii="仿宋" w:hAnsi="仿宋" w:eastAsia="仿宋" w:cs="仿宋"/>
          <w:sz w:val="24"/>
          <w:szCs w:val="28"/>
          <w:highlight w:val="none"/>
        </w:rPr>
      </w:pP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注：</w:t>
      </w: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1.请</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完整填写本表；</w:t>
      </w:r>
    </w:p>
    <w:p>
      <w:pPr>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2.该表可扩展，并逐页签字或盖章。</w:t>
      </w:r>
    </w:p>
    <w:p>
      <w:pPr>
        <w:snapToGrid w:val="0"/>
        <w:spacing w:line="500" w:lineRule="exact"/>
        <w:rPr>
          <w:rFonts w:hint="eastAsia" w:ascii="仿宋" w:hAnsi="仿宋" w:eastAsia="仿宋" w:cs="仿宋"/>
          <w:sz w:val="24"/>
          <w:szCs w:val="28"/>
          <w:highlight w:val="none"/>
        </w:rPr>
      </w:pPr>
    </w:p>
    <w:p>
      <w:pPr>
        <w:pStyle w:val="4"/>
        <w:pageBreakBefore/>
        <w:spacing w:line="500" w:lineRule="exact"/>
        <w:rPr>
          <w:rFonts w:hint="eastAsia" w:ascii="仿宋" w:hAnsi="仿宋" w:eastAsia="仿宋" w:cs="仿宋"/>
          <w:b/>
          <w:szCs w:val="28"/>
          <w:highlight w:val="none"/>
        </w:rPr>
      </w:pPr>
      <w:bookmarkStart w:id="135" w:name="_Toc20290"/>
      <w:r>
        <w:rPr>
          <w:rFonts w:hint="eastAsia" w:ascii="仿宋" w:hAnsi="仿宋" w:eastAsia="仿宋" w:cs="仿宋"/>
          <w:b/>
          <w:szCs w:val="28"/>
          <w:highlight w:val="none"/>
        </w:rPr>
        <w:t>二、资格文件</w:t>
      </w:r>
      <w:bookmarkEnd w:id="135"/>
    </w:p>
    <w:p>
      <w:pPr>
        <w:snapToGrid w:val="0"/>
        <w:spacing w:line="440" w:lineRule="exact"/>
        <w:ind w:firstLine="562" w:firstLineChars="200"/>
        <w:outlineLvl w:val="1"/>
        <w:rPr>
          <w:rFonts w:hint="eastAsia" w:ascii="仿宋" w:hAnsi="仿宋" w:eastAsia="仿宋" w:cs="仿宋"/>
          <w:b/>
          <w:szCs w:val="28"/>
          <w:highlight w:val="none"/>
        </w:rPr>
      </w:pPr>
    </w:p>
    <w:p>
      <w:pPr>
        <w:tabs>
          <w:tab w:val="left" w:pos="6300"/>
        </w:tabs>
        <w:snapToGrid w:val="0"/>
        <w:spacing w:line="500" w:lineRule="exact"/>
        <w:ind w:firstLine="570"/>
        <w:rPr>
          <w:rFonts w:hint="eastAsia" w:ascii="仿宋" w:hAnsi="仿宋" w:eastAsia="仿宋" w:cs="仿宋"/>
          <w:highlight w:val="none"/>
        </w:rPr>
      </w:pPr>
      <w:r>
        <w:rPr>
          <w:rFonts w:hint="eastAsia" w:ascii="仿宋" w:hAnsi="仿宋" w:eastAsia="仿宋" w:cs="仿宋"/>
          <w:highlight w:val="none"/>
        </w:rPr>
        <w:t>（一）营业执照（副本）</w:t>
      </w:r>
      <w:r>
        <w:rPr>
          <w:rFonts w:hint="eastAsia" w:ascii="仿宋" w:hAnsi="仿宋" w:eastAsia="仿宋" w:cs="仿宋"/>
          <w:szCs w:val="28"/>
          <w:highlight w:val="none"/>
        </w:rPr>
        <w:t>或事业单位法人证书（副本）</w:t>
      </w:r>
      <w:r>
        <w:rPr>
          <w:rFonts w:hint="eastAsia" w:ascii="仿宋" w:hAnsi="仿宋" w:eastAsia="仿宋" w:cs="仿宋"/>
          <w:highlight w:val="none"/>
        </w:rPr>
        <w:t>复印件</w:t>
      </w:r>
    </w:p>
    <w:p>
      <w:pPr>
        <w:tabs>
          <w:tab w:val="left" w:pos="6300"/>
        </w:tabs>
        <w:snapToGrid w:val="0"/>
        <w:spacing w:line="500" w:lineRule="exact"/>
        <w:ind w:firstLine="570"/>
        <w:rPr>
          <w:rFonts w:hint="eastAsia" w:ascii="仿宋" w:hAnsi="仿宋" w:eastAsia="仿宋" w:cs="仿宋"/>
          <w:highlight w:val="none"/>
        </w:rPr>
      </w:pPr>
    </w:p>
    <w:p>
      <w:pPr>
        <w:numPr>
          <w:ilvl w:val="0"/>
          <w:numId w:val="0"/>
        </w:numPr>
        <w:tabs>
          <w:tab w:val="left" w:pos="6300"/>
        </w:tabs>
        <w:snapToGrid w:val="0"/>
        <w:spacing w:line="500" w:lineRule="exact"/>
        <w:ind w:firstLine="570"/>
        <w:rPr>
          <w:rFonts w:hint="eastAsia" w:ascii="仿宋" w:hAnsi="仿宋" w:eastAsia="仿宋" w:cs="仿宋"/>
          <w:highlight w:val="none"/>
        </w:rPr>
      </w:pPr>
      <w:r>
        <w:rPr>
          <w:rFonts w:hint="eastAsia" w:ascii="仿宋" w:hAnsi="仿宋" w:eastAsia="仿宋" w:cs="仿宋"/>
          <w:kern w:val="2"/>
          <w:sz w:val="28"/>
          <w:highlight w:val="none"/>
          <w:lang w:val="en-US" w:eastAsia="zh-CN" w:bidi="ar-SA"/>
        </w:rPr>
        <w:t>（二）</w:t>
      </w:r>
      <w:r>
        <w:rPr>
          <w:rFonts w:hint="eastAsia" w:ascii="仿宋" w:hAnsi="仿宋" w:eastAsia="仿宋" w:cs="仿宋"/>
          <w:highlight w:val="none"/>
        </w:rPr>
        <w:t>组织机构代码证复印件</w:t>
      </w:r>
    </w:p>
    <w:p>
      <w:pPr>
        <w:tabs>
          <w:tab w:val="left" w:pos="6300"/>
        </w:tabs>
        <w:snapToGrid w:val="0"/>
        <w:spacing w:line="500" w:lineRule="exact"/>
        <w:rPr>
          <w:rFonts w:hint="eastAsia" w:ascii="仿宋" w:hAnsi="仿宋" w:eastAsia="仿宋" w:cs="仿宋"/>
          <w:highlight w:val="none"/>
        </w:rPr>
      </w:pPr>
    </w:p>
    <w:p>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按“多证合一”登记制度办理营业执照的，组织机构代码证、税务登记证（副本）和社会保险登记证以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所提供的法人营业执照（副本）复印件为准。</w:t>
      </w:r>
    </w:p>
    <w:p>
      <w:pPr>
        <w:tabs>
          <w:tab w:val="left" w:pos="6300"/>
        </w:tabs>
        <w:snapToGrid w:val="0"/>
        <w:spacing w:line="500" w:lineRule="exact"/>
        <w:rPr>
          <w:rFonts w:hint="eastAsia" w:ascii="仿宋" w:hAnsi="仿宋" w:eastAsia="仿宋" w:cs="仿宋"/>
          <w:highlight w:val="none"/>
        </w:rPr>
      </w:pPr>
    </w:p>
    <w:p>
      <w:pPr>
        <w:tabs>
          <w:tab w:val="left" w:pos="6300"/>
        </w:tabs>
        <w:snapToGrid w:val="0"/>
        <w:spacing w:line="500" w:lineRule="exact"/>
        <w:ind w:firstLine="570"/>
        <w:rPr>
          <w:rFonts w:hint="eastAsia" w:ascii="仿宋" w:hAnsi="仿宋" w:eastAsia="仿宋" w:cs="仿宋"/>
          <w:highlight w:val="none"/>
        </w:rPr>
      </w:pPr>
    </w:p>
    <w:p>
      <w:pPr>
        <w:tabs>
          <w:tab w:val="left" w:pos="6300"/>
        </w:tabs>
        <w:snapToGrid w:val="0"/>
        <w:spacing w:line="500" w:lineRule="exact"/>
        <w:ind w:firstLine="570"/>
        <w:rPr>
          <w:rFonts w:hint="eastAsia" w:ascii="仿宋" w:hAnsi="仿宋" w:eastAsia="仿宋" w:cs="仿宋"/>
          <w:highlight w:val="none"/>
        </w:rPr>
      </w:pPr>
    </w:p>
    <w:p>
      <w:pPr>
        <w:tabs>
          <w:tab w:val="left" w:pos="6300"/>
        </w:tabs>
        <w:snapToGrid w:val="0"/>
        <w:spacing w:line="500" w:lineRule="exact"/>
        <w:ind w:firstLine="570"/>
        <w:rPr>
          <w:rFonts w:hint="eastAsia" w:ascii="仿宋" w:hAnsi="仿宋" w:eastAsia="仿宋" w:cs="仿宋"/>
          <w:highlight w:val="none"/>
        </w:rPr>
      </w:pPr>
    </w:p>
    <w:p>
      <w:pPr>
        <w:widowControl/>
        <w:ind w:firstLine="560" w:firstLineChars="200"/>
        <w:jc w:val="left"/>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（三）法定代表人身份证明书（格式）</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特此证明。</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公章）</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（附：法定代表人身份证正反面复印件）</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highlight w:val="none"/>
        </w:rPr>
      </w:pPr>
      <w:r>
        <w:rPr>
          <w:rFonts w:hint="eastAsia" w:ascii="仿宋" w:hAnsi="仿宋" w:eastAsia="仿宋" w:cs="仿宋"/>
          <w:highlight w:val="none"/>
        </w:rPr>
        <w:br w:type="column"/>
      </w:r>
      <w:r>
        <w:rPr>
          <w:rFonts w:hint="eastAsia" w:ascii="仿宋" w:hAnsi="仿宋" w:eastAsia="仿宋" w:cs="仿宋"/>
          <w:highlight w:val="none"/>
        </w:rPr>
        <w:t>（四）法定代表人授权委托书（格式）</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8"/>
          <w:highlight w:val="none"/>
        </w:rPr>
        <w:t>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（被授权人姓名及身份证代码）代表我单位全权办理上述项目的竞标、谈判、签约等具体工作，并签署全部有关文件、协议及合同。</w:t>
      </w:r>
    </w:p>
    <w:p>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我单位对被授权人的签字负全部责任。</w:t>
      </w:r>
    </w:p>
    <w:p>
      <w:pPr>
        <w:tabs>
          <w:tab w:val="left" w:pos="6300"/>
        </w:tabs>
        <w:snapToGrid w:val="0"/>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被授权人：                                 </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法定代表人：</w:t>
      </w:r>
    </w:p>
    <w:p>
      <w:pPr>
        <w:tabs>
          <w:tab w:val="left" w:pos="6300"/>
        </w:tabs>
        <w:snapToGrid w:val="0"/>
        <w:spacing w:line="500" w:lineRule="exact"/>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（签字或盖章）                                （签字或盖章）</w:t>
      </w:r>
    </w:p>
    <w:p>
      <w:pPr>
        <w:tabs>
          <w:tab w:val="left" w:pos="6300"/>
        </w:tabs>
        <w:snapToGrid w:val="0"/>
        <w:spacing w:line="500" w:lineRule="exact"/>
        <w:ind w:firstLine="570"/>
        <w:rPr>
          <w:rFonts w:hint="eastAsia" w:ascii="仿宋" w:hAnsi="仿宋" w:eastAsia="仿宋" w:cs="仿宋"/>
          <w:sz w:val="24"/>
          <w:szCs w:val="28"/>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（附：被授权人身份证正反面复印件）</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firstLine="570"/>
        <w:rPr>
          <w:rFonts w:hint="eastAsia" w:ascii="仿宋" w:hAnsi="仿宋" w:eastAsia="仿宋" w:cs="仿宋"/>
          <w:sz w:val="24"/>
          <w:highlight w:val="none"/>
        </w:rPr>
      </w:pPr>
    </w:p>
    <w:p>
      <w:pPr>
        <w:tabs>
          <w:tab w:val="left" w:pos="6300"/>
        </w:tabs>
        <w:snapToGrid w:val="0"/>
        <w:spacing w:line="50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公章）</w:t>
      </w:r>
    </w:p>
    <w:p>
      <w:pPr>
        <w:tabs>
          <w:tab w:val="left" w:pos="6300"/>
        </w:tabs>
        <w:snapToGrid w:val="0"/>
        <w:spacing w:line="500" w:lineRule="exact"/>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年   月   日</w:t>
      </w:r>
    </w:p>
    <w:p>
      <w:pPr>
        <w:tabs>
          <w:tab w:val="left" w:pos="6300"/>
        </w:tabs>
        <w:snapToGrid w:val="0"/>
        <w:spacing w:line="500" w:lineRule="exact"/>
        <w:ind w:right="480" w:firstLine="570"/>
        <w:jc w:val="right"/>
        <w:rPr>
          <w:rFonts w:hint="eastAsia" w:ascii="仿宋" w:hAnsi="仿宋" w:eastAsia="仿宋" w:cs="仿宋"/>
          <w:sz w:val="24"/>
          <w:highlight w:val="none"/>
        </w:rPr>
      </w:pPr>
    </w:p>
    <w:p>
      <w:pPr>
        <w:tabs>
          <w:tab w:val="left" w:pos="6300"/>
        </w:tabs>
        <w:snapToGrid w:val="0"/>
        <w:spacing w:line="50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1.若为法定代表人办理并签署</w:t>
      </w:r>
      <w:r>
        <w:rPr>
          <w:rFonts w:hint="eastAsia" w:ascii="仿宋" w:hAnsi="仿宋" w:eastAsia="仿宋" w:cs="仿宋"/>
          <w:sz w:val="24"/>
          <w:highlight w:val="none"/>
          <w:lang w:eastAsia="zh-CN"/>
        </w:rPr>
        <w:t>申请文件</w:t>
      </w:r>
      <w:r>
        <w:rPr>
          <w:rFonts w:hint="eastAsia" w:ascii="仿宋" w:hAnsi="仿宋" w:eastAsia="仿宋" w:cs="仿宋"/>
          <w:sz w:val="24"/>
          <w:highlight w:val="none"/>
        </w:rPr>
        <w:t>的，不提供此文件。</w:t>
      </w:r>
    </w:p>
    <w:p>
      <w:pPr>
        <w:widowControl/>
        <w:spacing w:line="400" w:lineRule="exact"/>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highlight w:val="none"/>
        </w:rPr>
        <w:br w:type="column"/>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）法定代表人社保证明材料</w:t>
      </w:r>
    </w:p>
    <w:p>
      <w:pPr>
        <w:widowControl/>
        <w:spacing w:line="400" w:lineRule="exact"/>
        <w:ind w:firstLine="480" w:firstLineChars="200"/>
        <w:jc w:val="left"/>
        <w:rPr>
          <w:rFonts w:hint="eastAsia" w:ascii="仿宋" w:hAnsi="仿宋" w:eastAsia="仿宋" w:cs="仿宋"/>
          <w:sz w:val="28"/>
          <w:szCs w:val="28"/>
          <w:highlight w:val="none"/>
        </w:rPr>
      </w:pPr>
      <w:r>
        <w:rPr>
          <w:rFonts w:hint="eastAsia" w:ascii="仿宋" w:hAnsi="仿宋" w:eastAsia="仿宋" w:cs="仿宋"/>
          <w:color w:val="auto"/>
          <w:sz w:val="24"/>
          <w:szCs w:val="24"/>
          <w:highlight w:val="none"/>
        </w:rPr>
        <w:br w:type="page"/>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）法定代表人未缴纳社保情况说明（格式）（法定代表人有社保的无需填此表，无社保的必须填写此表）</w:t>
      </w:r>
    </w:p>
    <w:p>
      <w:pPr>
        <w:widowControl/>
        <w:spacing w:line="400" w:lineRule="exact"/>
        <w:ind w:firstLine="560" w:firstLineChars="200"/>
        <w:jc w:val="left"/>
        <w:rPr>
          <w:rFonts w:hint="eastAsia" w:ascii="仿宋" w:hAnsi="仿宋" w:eastAsia="仿宋" w:cs="仿宋"/>
          <w:sz w:val="28"/>
          <w:szCs w:val="28"/>
          <w:highlight w:val="none"/>
        </w:rPr>
      </w:pPr>
    </w:p>
    <w:p>
      <w:pPr>
        <w:widowControl/>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法定代表人因以下第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种原因无社保缴纳记录。</w:t>
      </w:r>
    </w:p>
    <w:p>
      <w:pPr>
        <w:widowControl/>
        <w:spacing w:line="4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1.因个人原因，未在任何单位缴纳社保</w:t>
      </w:r>
      <w:r>
        <w:rPr>
          <w:rFonts w:hint="eastAsia" w:ascii="仿宋" w:hAnsi="仿宋" w:eastAsia="仿宋" w:cs="仿宋"/>
          <w:sz w:val="28"/>
          <w:szCs w:val="28"/>
          <w:highlight w:val="none"/>
          <w:lang w:eastAsia="zh-CN"/>
        </w:rPr>
        <w:t>。</w:t>
      </w:r>
    </w:p>
    <w:p>
      <w:pPr>
        <w:widowControl/>
        <w:spacing w:line="400" w:lineRule="exact"/>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2.已退休</w:t>
      </w:r>
      <w:r>
        <w:rPr>
          <w:rFonts w:hint="eastAsia" w:ascii="仿宋" w:hAnsi="仿宋" w:eastAsia="仿宋" w:cs="仿宋"/>
          <w:sz w:val="28"/>
          <w:szCs w:val="28"/>
          <w:highlight w:val="none"/>
          <w:lang w:eastAsia="zh-CN"/>
        </w:rPr>
        <w:t>。</w:t>
      </w:r>
    </w:p>
    <w:p>
      <w:pPr>
        <w:tabs>
          <w:tab w:val="left" w:pos="6300"/>
        </w:tabs>
        <w:snapToGrid w:val="0"/>
        <w:spacing w:line="360" w:lineRule="auto"/>
        <w:jc w:val="center"/>
        <w:rPr>
          <w:rFonts w:hint="eastAsia" w:ascii="仿宋" w:hAnsi="仿宋" w:eastAsia="仿宋" w:cs="仿宋"/>
          <w:color w:val="auto"/>
          <w:highlight w:val="none"/>
        </w:rPr>
      </w:pPr>
    </w:p>
    <w:p>
      <w:pPr>
        <w:tabs>
          <w:tab w:val="left" w:pos="6300"/>
        </w:tabs>
        <w:snapToGrid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七</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书面声明</w:t>
      </w:r>
    </w:p>
    <w:p>
      <w:pPr>
        <w:tabs>
          <w:tab w:val="left" w:pos="6300"/>
        </w:tabs>
        <w:snapToGrid w:val="0"/>
        <w:spacing w:line="360" w:lineRule="auto"/>
        <w:ind w:firstLine="570"/>
        <w:rPr>
          <w:rFonts w:hint="eastAsia" w:ascii="仿宋" w:hAnsi="仿宋" w:eastAsia="仿宋" w:cs="仿宋"/>
          <w:color w:val="auto"/>
          <w:sz w:val="24"/>
          <w:highlight w:val="none"/>
        </w:rPr>
      </w:pPr>
    </w:p>
    <w:p>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竞争性比选项目名称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tabs>
          <w:tab w:val="left" w:pos="6300"/>
        </w:tabs>
        <w:snapToGrid w:val="0"/>
        <w:spacing w:line="360" w:lineRule="auto"/>
        <w:ind w:firstLine="570"/>
        <w:rPr>
          <w:rFonts w:hint="eastAsia" w:ascii="仿宋" w:hAnsi="仿宋" w:eastAsia="仿宋" w:cs="仿宋"/>
          <w:color w:val="auto"/>
          <w:sz w:val="24"/>
          <w:highlight w:val="none"/>
        </w:rPr>
      </w:pPr>
    </w:p>
    <w:p>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名称）：</w:t>
      </w:r>
    </w:p>
    <w:p>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并随时接受</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的检查验证。我方对以上声明负全部法律责任。</w:t>
      </w:r>
    </w:p>
    <w:p>
      <w:pPr>
        <w:tabs>
          <w:tab w:val="left" w:pos="6300"/>
        </w:tabs>
        <w:snapToGrid w:val="0"/>
        <w:spacing w:line="360" w:lineRule="auto"/>
        <w:ind w:firstLine="480" w:firstLineChars="200"/>
        <w:rPr>
          <w:rFonts w:hint="eastAsia" w:ascii="仿宋" w:hAnsi="仿宋" w:eastAsia="仿宋" w:cs="仿宋"/>
          <w:color w:val="auto"/>
          <w:sz w:val="24"/>
          <w:highlight w:val="none"/>
        </w:rPr>
      </w:pPr>
    </w:p>
    <w:p>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tabs>
          <w:tab w:val="left" w:pos="6300"/>
        </w:tabs>
        <w:snapToGrid w:val="0"/>
        <w:spacing w:line="360" w:lineRule="auto"/>
        <w:ind w:firstLine="570"/>
        <w:rPr>
          <w:rFonts w:hint="eastAsia" w:ascii="仿宋" w:hAnsi="仿宋" w:eastAsia="仿宋" w:cs="仿宋"/>
          <w:color w:val="auto"/>
          <w:sz w:val="24"/>
          <w:highlight w:val="none"/>
        </w:rPr>
      </w:pPr>
    </w:p>
    <w:p>
      <w:pPr>
        <w:tabs>
          <w:tab w:val="left" w:pos="6300"/>
        </w:tabs>
        <w:snapToGrid w:val="0"/>
        <w:spacing w:line="360" w:lineRule="auto"/>
        <w:ind w:firstLine="570"/>
        <w:rPr>
          <w:rFonts w:hint="eastAsia" w:ascii="仿宋" w:hAnsi="仿宋" w:eastAsia="仿宋" w:cs="仿宋"/>
          <w:color w:val="auto"/>
          <w:sz w:val="24"/>
          <w:highlight w:val="none"/>
        </w:rPr>
      </w:pPr>
    </w:p>
    <w:p>
      <w:pPr>
        <w:tabs>
          <w:tab w:val="left" w:pos="6300"/>
        </w:tabs>
        <w:snapToGrid w:val="0"/>
        <w:spacing w:line="360" w:lineRule="auto"/>
        <w:ind w:firstLine="570"/>
        <w:rPr>
          <w:rFonts w:hint="eastAsia" w:ascii="仿宋" w:hAnsi="仿宋" w:eastAsia="仿宋" w:cs="仿宋"/>
          <w:color w:val="auto"/>
          <w:sz w:val="24"/>
          <w:highlight w:val="none"/>
        </w:rPr>
      </w:pPr>
    </w:p>
    <w:p>
      <w:pPr>
        <w:tabs>
          <w:tab w:val="left" w:pos="6300"/>
        </w:tabs>
        <w:snapToGrid w:val="0"/>
        <w:spacing w:line="360" w:lineRule="auto"/>
        <w:ind w:right="424"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公章）</w:t>
      </w:r>
    </w:p>
    <w:p>
      <w:pPr>
        <w:tabs>
          <w:tab w:val="left" w:pos="6300"/>
        </w:tabs>
        <w:snapToGrid w:val="0"/>
        <w:spacing w:line="500" w:lineRule="exact"/>
        <w:ind w:right="480" w:firstLine="570"/>
        <w:jc w:val="right"/>
        <w:rPr>
          <w:rFonts w:hint="eastAsia" w:ascii="仿宋" w:hAnsi="仿宋" w:eastAsia="仿宋" w:cs="仿宋"/>
          <w:sz w:val="24"/>
          <w:highlight w:val="none"/>
        </w:rPr>
      </w:pPr>
      <w:r>
        <w:rPr>
          <w:rFonts w:hint="eastAsia" w:ascii="仿宋" w:hAnsi="仿宋" w:eastAsia="仿宋" w:cs="仿宋"/>
          <w:color w:val="auto"/>
          <w:sz w:val="24"/>
          <w:highlight w:val="none"/>
        </w:rPr>
        <w:t>年   月   日</w:t>
      </w:r>
    </w:p>
    <w:p>
      <w:pPr>
        <w:snapToGrid w:val="0"/>
        <w:spacing w:line="440" w:lineRule="exact"/>
        <w:ind w:firstLine="480" w:firstLineChars="200"/>
        <w:rPr>
          <w:rFonts w:hint="eastAsia" w:ascii="仿宋" w:hAnsi="仿宋" w:eastAsia="仿宋" w:cs="仿宋"/>
          <w:sz w:val="24"/>
          <w:szCs w:val="24"/>
          <w:highlight w:val="none"/>
        </w:rPr>
      </w:pPr>
    </w:p>
    <w:p>
      <w:pPr>
        <w:tabs>
          <w:tab w:val="left" w:pos="6300"/>
        </w:tabs>
        <w:snapToGrid w:val="0"/>
        <w:spacing w:line="500" w:lineRule="exact"/>
        <w:rPr>
          <w:rFonts w:hint="eastAsia" w:ascii="仿宋" w:hAnsi="仿宋" w:eastAsia="仿宋" w:cs="仿宋"/>
          <w:sz w:val="24"/>
          <w:szCs w:val="24"/>
          <w:highlight w:val="none"/>
        </w:rPr>
      </w:pPr>
    </w:p>
    <w:p>
      <w:pPr>
        <w:tabs>
          <w:tab w:val="left" w:pos="6300"/>
        </w:tabs>
        <w:snapToGrid w:val="0"/>
        <w:spacing w:line="500" w:lineRule="exact"/>
        <w:rPr>
          <w:rFonts w:hint="eastAsia" w:ascii="仿宋" w:hAnsi="仿宋" w:eastAsia="仿宋" w:cs="仿宋"/>
          <w:b/>
          <w:sz w:val="24"/>
          <w:highlight w:val="none"/>
        </w:rPr>
      </w:pPr>
      <w:r>
        <w:rPr>
          <w:rFonts w:hint="eastAsia" w:ascii="仿宋" w:hAnsi="仿宋" w:eastAsia="仿宋" w:cs="仿宋"/>
          <w:b/>
          <w:szCs w:val="28"/>
          <w:highlight w:val="none"/>
        </w:rPr>
        <w:br w:type="page"/>
      </w:r>
      <w:bookmarkStart w:id="136" w:name="_Toc23332"/>
      <w:r>
        <w:rPr>
          <w:rStyle w:val="23"/>
          <w:rFonts w:hint="eastAsia" w:ascii="仿宋" w:hAnsi="仿宋" w:eastAsia="仿宋" w:cs="仿宋"/>
          <w:highlight w:val="none"/>
        </w:rPr>
        <w:t>三、</w:t>
      </w:r>
      <w:r>
        <w:rPr>
          <w:rStyle w:val="23"/>
          <w:rFonts w:hint="eastAsia" w:ascii="仿宋" w:hAnsi="仿宋" w:eastAsia="仿宋" w:cs="仿宋"/>
          <w:highlight w:val="none"/>
          <w:lang w:val="en-US" w:eastAsia="zh-CN"/>
        </w:rPr>
        <w:t>服务</w:t>
      </w:r>
      <w:r>
        <w:rPr>
          <w:rStyle w:val="23"/>
          <w:rFonts w:hint="eastAsia" w:ascii="仿宋" w:hAnsi="仿宋" w:eastAsia="仿宋" w:cs="仿宋"/>
          <w:highlight w:val="none"/>
        </w:rPr>
        <w:t>文件</w:t>
      </w:r>
      <w:bookmarkEnd w:id="136"/>
    </w:p>
    <w:p>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条款差异表</w:t>
      </w:r>
    </w:p>
    <w:p>
      <w:pPr>
        <w:pStyle w:val="9"/>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szCs w:val="28"/>
          <w:highlight w:val="none"/>
        </w:rPr>
        <w:t>项目名称</w:t>
      </w:r>
      <w:r>
        <w:rPr>
          <w:rFonts w:hint="eastAsia" w:ascii="仿宋" w:hAnsi="仿宋" w:eastAsia="仿宋" w:cs="仿宋"/>
          <w:sz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服务</w:t>
            </w:r>
            <w:r>
              <w:rPr>
                <w:rFonts w:hint="eastAsia" w:ascii="仿宋" w:hAnsi="仿宋" w:eastAsia="仿宋" w:cs="仿宋"/>
                <w:sz w:val="21"/>
                <w:szCs w:val="21"/>
                <w:highlight w:val="none"/>
              </w:rPr>
              <w:t>要求</w:t>
            </w: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竞标</w:t>
            </w:r>
            <w:r>
              <w:rPr>
                <w:rFonts w:hint="eastAsia" w:ascii="仿宋" w:hAnsi="仿宋" w:eastAsia="仿宋" w:cs="仿宋"/>
                <w:sz w:val="21"/>
                <w:szCs w:val="21"/>
                <w:highlight w:val="none"/>
                <w:lang w:val="en-US" w:eastAsia="zh-CN"/>
              </w:rPr>
              <w:t>服务</w:t>
            </w:r>
            <w:r>
              <w:rPr>
                <w:rFonts w:hint="eastAsia" w:ascii="仿宋" w:hAnsi="仿宋" w:eastAsia="仿宋" w:cs="仿宋"/>
                <w:sz w:val="21"/>
                <w:szCs w:val="21"/>
                <w:highlight w:val="none"/>
              </w:rPr>
              <w:t>应答</w:t>
            </w: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bl>
    <w:p>
      <w:pPr>
        <w:spacing w:line="500" w:lineRule="exact"/>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                 法定代表人或法定代表人授权代表：</w:t>
      </w: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pPr>
        <w:spacing w:line="500" w:lineRule="exact"/>
        <w:ind w:left="560" w:leftChars="200"/>
        <w:rPr>
          <w:rFonts w:hint="eastAsia" w:ascii="仿宋" w:hAnsi="仿宋" w:eastAsia="仿宋" w:cs="仿宋"/>
          <w:sz w:val="24"/>
          <w:szCs w:val="28"/>
          <w:highlight w:val="none"/>
        </w:rPr>
      </w:pPr>
      <w:r>
        <w:rPr>
          <w:rFonts w:hint="eastAsia" w:ascii="仿宋" w:hAnsi="仿宋" w:eastAsia="仿宋" w:cs="仿宋"/>
          <w:sz w:val="24"/>
          <w:szCs w:val="28"/>
          <w:highlight w:val="none"/>
        </w:rPr>
        <w:t>（</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公章）                               （签字或盖章）</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firstLine="5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1.本表即为对本项目“第二篇  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要求”中所列条款进行比较和响应</w:t>
      </w:r>
      <w:r>
        <w:rPr>
          <w:rFonts w:hint="eastAsia" w:ascii="仿宋" w:hAnsi="仿宋" w:eastAsia="仿宋" w:cs="仿宋"/>
          <w:color w:val="auto"/>
          <w:sz w:val="24"/>
          <w:szCs w:val="24"/>
          <w:highlight w:val="none"/>
          <w:lang w:eastAsia="zh-CN"/>
        </w:rPr>
        <w:t>。</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文件要求逐条如实填写，“竞标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应答”栏需逐条填写具体内容，并在“差异说明”项填写正偏离或负偏离，完全符合的填写“无差异”，如“</w:t>
      </w:r>
      <w:r>
        <w:rPr>
          <w:rFonts w:hint="eastAsia" w:ascii="仿宋" w:hAnsi="仿宋" w:eastAsia="仿宋" w:cs="仿宋"/>
          <w:color w:val="auto"/>
          <w:sz w:val="24"/>
          <w:szCs w:val="24"/>
          <w:highlight w:val="none"/>
          <w:lang w:eastAsia="zh-CN"/>
        </w:rPr>
        <w:t>竞标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应答”栏未填写具体内容或与“项目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要求”要求的内容不完全一致，则该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不能通过本项目的符合性审查。如“</w:t>
      </w:r>
      <w:r>
        <w:rPr>
          <w:rFonts w:hint="eastAsia" w:ascii="仿宋" w:hAnsi="仿宋" w:eastAsia="仿宋" w:cs="仿宋"/>
          <w:color w:val="auto"/>
          <w:sz w:val="24"/>
          <w:szCs w:val="24"/>
          <w:highlight w:val="none"/>
          <w:lang w:eastAsia="zh-CN"/>
        </w:rPr>
        <w:t>竞标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应答”栏具体内容和“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要求”栏具体内容一致但“差异说明”栏未填写则视为无差异。</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w:t>
      </w:r>
    </w:p>
    <w:p>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4、相关证明材料后附。（格式自定）</w:t>
      </w:r>
    </w:p>
    <w:p>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sz w:val="24"/>
          <w:szCs w:val="24"/>
          <w:highlight w:val="none"/>
        </w:rPr>
        <w:t>部分评分证明材料（如有）</w:t>
      </w:r>
    </w:p>
    <w:p>
      <w:pPr>
        <w:pStyle w:val="4"/>
        <w:pageBreakBefore/>
        <w:spacing w:line="500" w:lineRule="exact"/>
        <w:rPr>
          <w:rFonts w:hint="eastAsia" w:ascii="仿宋" w:hAnsi="仿宋" w:eastAsia="仿宋" w:cs="仿宋"/>
          <w:b/>
          <w:szCs w:val="28"/>
          <w:highlight w:val="none"/>
        </w:rPr>
      </w:pPr>
      <w:bookmarkStart w:id="137" w:name="_Toc429584886"/>
      <w:bookmarkStart w:id="138" w:name="_Toc492721039"/>
      <w:bookmarkStart w:id="139" w:name="_Toc23164"/>
      <w:r>
        <w:rPr>
          <w:rFonts w:hint="eastAsia" w:ascii="仿宋" w:hAnsi="仿宋" w:eastAsia="仿宋" w:cs="仿宋"/>
          <w:b/>
          <w:szCs w:val="28"/>
          <w:highlight w:val="none"/>
        </w:rPr>
        <w:t>四、商务文件</w:t>
      </w:r>
      <w:bookmarkEnd w:id="137"/>
      <w:bookmarkEnd w:id="138"/>
      <w:bookmarkEnd w:id="139"/>
    </w:p>
    <w:p>
      <w:pPr>
        <w:snapToGrid w:val="0"/>
        <w:spacing w:before="120" w:beforeLines="50" w:line="500" w:lineRule="exact"/>
        <w:jc w:val="center"/>
        <w:rPr>
          <w:rFonts w:hint="eastAsia" w:ascii="仿宋" w:hAnsi="仿宋" w:eastAsia="仿宋" w:cs="仿宋"/>
          <w:szCs w:val="28"/>
          <w:highlight w:val="none"/>
        </w:rPr>
      </w:pPr>
      <w:r>
        <w:rPr>
          <w:rFonts w:hint="eastAsia" w:ascii="仿宋" w:hAnsi="仿宋" w:eastAsia="仿宋" w:cs="仿宋"/>
          <w:szCs w:val="28"/>
          <w:highlight w:val="none"/>
        </w:rPr>
        <w:t>（一）竞标函（格式）</w:t>
      </w:r>
    </w:p>
    <w:p>
      <w:pPr>
        <w:spacing w:line="500" w:lineRule="exact"/>
        <w:rPr>
          <w:rFonts w:hint="eastAsia" w:ascii="仿宋" w:hAnsi="仿宋" w:eastAsia="仿宋" w:cs="仿宋"/>
          <w:sz w:val="24"/>
          <w:szCs w:val="28"/>
          <w:highlight w:val="none"/>
        </w:rPr>
      </w:pPr>
    </w:p>
    <w:p>
      <w:pPr>
        <w:spacing w:line="500" w:lineRule="exact"/>
        <w:ind w:firstLine="480" w:firstLineChars="200"/>
        <w:rPr>
          <w:rFonts w:hint="eastAsia" w:ascii="仿宋" w:hAnsi="仿宋" w:eastAsia="仿宋" w:cs="仿宋"/>
          <w:sz w:val="24"/>
          <w:szCs w:val="28"/>
          <w:highlight w:val="none"/>
          <w:u w:val="single"/>
        </w:rPr>
      </w:pPr>
      <w:r>
        <w:rPr>
          <w:rFonts w:hint="eastAsia" w:ascii="仿宋" w:hAnsi="仿宋" w:eastAsia="仿宋" w:cs="仿宋"/>
          <w:sz w:val="24"/>
          <w:szCs w:val="28"/>
          <w:highlight w:val="none"/>
        </w:rPr>
        <w:t>项目名称：</w:t>
      </w:r>
      <w:r>
        <w:rPr>
          <w:rFonts w:hint="eastAsia" w:ascii="仿宋" w:hAnsi="仿宋" w:eastAsia="仿宋" w:cs="仿宋"/>
          <w:sz w:val="24"/>
          <w:szCs w:val="28"/>
          <w:highlight w:val="none"/>
          <w:u w:val="single"/>
        </w:rPr>
        <w:t xml:space="preserve">                                             </w:t>
      </w:r>
    </w:p>
    <w:p>
      <w:pPr>
        <w:spacing w:line="500" w:lineRule="exact"/>
        <w:rPr>
          <w:rFonts w:hint="eastAsia" w:ascii="仿宋" w:hAnsi="仿宋" w:eastAsia="仿宋" w:cs="仿宋"/>
          <w:sz w:val="24"/>
          <w:szCs w:val="28"/>
          <w:highlight w:val="none"/>
        </w:rPr>
      </w:pPr>
    </w:p>
    <w:p>
      <w:pPr>
        <w:tabs>
          <w:tab w:val="left" w:pos="6300"/>
        </w:tabs>
        <w:snapToGrid w:val="0"/>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致：</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（采购代理机构名称）：</w:t>
      </w:r>
    </w:p>
    <w:p>
      <w:pPr>
        <w:snapToGrid w:val="0"/>
        <w:spacing w:before="120" w:beforeLines="50"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名称）系中华人民共和国合法企业，注册地址：</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。我方就参加本次竞标有关事项郑重声明如下：</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一、我方完全理解并接受该项目竞争性比选文件所有要求。</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二、我方提交的所有</w:t>
      </w:r>
      <w:r>
        <w:rPr>
          <w:rFonts w:hint="eastAsia" w:ascii="仿宋" w:hAnsi="仿宋" w:eastAsia="仿宋" w:cs="仿宋"/>
          <w:sz w:val="24"/>
          <w:szCs w:val="28"/>
          <w:highlight w:val="none"/>
          <w:lang w:eastAsia="zh-CN"/>
        </w:rPr>
        <w:t>申请文件</w:t>
      </w:r>
      <w:r>
        <w:rPr>
          <w:rFonts w:hint="eastAsia" w:ascii="仿宋" w:hAnsi="仿宋" w:eastAsia="仿宋" w:cs="仿宋"/>
          <w:sz w:val="24"/>
          <w:szCs w:val="28"/>
          <w:highlight w:val="none"/>
        </w:rPr>
        <w:t>、资料都是准确和真实的，如有虚假或隐瞒，我方愿意承担一切法律责任。</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三、我方承诺按照竞争性比选文件要求，提供项目的技术服务。</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四、我方按竞争性比选文件要求提交的</w:t>
      </w:r>
      <w:r>
        <w:rPr>
          <w:rFonts w:hint="eastAsia" w:ascii="仿宋" w:hAnsi="仿宋" w:eastAsia="仿宋" w:cs="仿宋"/>
          <w:sz w:val="24"/>
          <w:szCs w:val="28"/>
          <w:highlight w:val="none"/>
          <w:lang w:eastAsia="zh-CN"/>
        </w:rPr>
        <w:t>申请文件</w:t>
      </w:r>
      <w:r>
        <w:rPr>
          <w:rFonts w:hint="eastAsia" w:ascii="仿宋" w:hAnsi="仿宋" w:eastAsia="仿宋" w:cs="仿宋"/>
          <w:sz w:val="24"/>
          <w:szCs w:val="28"/>
          <w:highlight w:val="none"/>
        </w:rPr>
        <w:t>为：</w:t>
      </w:r>
      <w:r>
        <w:rPr>
          <w:rFonts w:hint="eastAsia" w:ascii="仿宋" w:hAnsi="仿宋" w:eastAsia="仿宋" w:cs="仿宋"/>
          <w:sz w:val="24"/>
          <w:szCs w:val="28"/>
          <w:highlight w:val="none"/>
          <w:lang w:eastAsia="zh-CN"/>
        </w:rPr>
        <w:t>申请文件</w:t>
      </w:r>
      <w:r>
        <w:rPr>
          <w:rFonts w:hint="eastAsia" w:ascii="仿宋" w:hAnsi="仿宋" w:eastAsia="仿宋" w:cs="仿宋"/>
          <w:sz w:val="24"/>
          <w:szCs w:val="28"/>
          <w:highlight w:val="none"/>
        </w:rPr>
        <w:t>正本1份，副本</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份，电子文档</w:t>
      </w:r>
      <w:r>
        <w:rPr>
          <w:rFonts w:hint="eastAsia" w:ascii="仿宋" w:hAnsi="仿宋" w:eastAsia="仿宋" w:cs="仿宋"/>
          <w:sz w:val="24"/>
          <w:szCs w:val="28"/>
          <w:highlight w:val="none"/>
          <w:u w:val="single"/>
        </w:rPr>
        <w:t xml:space="preserve">    </w:t>
      </w:r>
      <w:r>
        <w:rPr>
          <w:rFonts w:hint="eastAsia" w:ascii="仿宋" w:hAnsi="仿宋" w:eastAsia="仿宋" w:cs="仿宋"/>
          <w:sz w:val="24"/>
          <w:szCs w:val="28"/>
          <w:highlight w:val="none"/>
        </w:rPr>
        <w:t>份。</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五、我方承诺：本次竞标的竞标有效期为90天。</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六、我方竞标报价为闭口价。即在竞标有效期和合同有效期内，该报价固定不变。</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七、如果我方</w:t>
      </w:r>
      <w:r>
        <w:rPr>
          <w:rFonts w:hint="eastAsia" w:ascii="仿宋" w:hAnsi="仿宋" w:eastAsia="仿宋" w:cs="仿宋"/>
          <w:sz w:val="24"/>
          <w:szCs w:val="28"/>
          <w:highlight w:val="none"/>
          <w:lang w:eastAsia="zh-CN"/>
        </w:rPr>
        <w:t>中选</w:t>
      </w:r>
      <w:r>
        <w:rPr>
          <w:rFonts w:hint="eastAsia" w:ascii="仿宋" w:hAnsi="仿宋" w:eastAsia="仿宋" w:cs="仿宋"/>
          <w:sz w:val="24"/>
          <w:szCs w:val="28"/>
          <w:highlight w:val="none"/>
        </w:rPr>
        <w:t>，我方将履行竞争性比选文件中规定的各项要求以及我方</w:t>
      </w:r>
      <w:r>
        <w:rPr>
          <w:rFonts w:hint="eastAsia" w:ascii="仿宋" w:hAnsi="仿宋" w:eastAsia="仿宋" w:cs="仿宋"/>
          <w:sz w:val="24"/>
          <w:szCs w:val="28"/>
          <w:highlight w:val="none"/>
          <w:lang w:eastAsia="zh-CN"/>
        </w:rPr>
        <w:t>申请文件</w:t>
      </w:r>
      <w:r>
        <w:rPr>
          <w:rFonts w:hint="eastAsia" w:ascii="仿宋" w:hAnsi="仿宋" w:eastAsia="仿宋" w:cs="仿宋"/>
          <w:sz w:val="24"/>
          <w:szCs w:val="28"/>
          <w:highlight w:val="none"/>
        </w:rPr>
        <w:t>的各项承诺，按《民法典》及合同约定条款承担我方责任。</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八、我方理解，最低报价不是</w:t>
      </w:r>
      <w:r>
        <w:rPr>
          <w:rFonts w:hint="eastAsia" w:ascii="仿宋" w:hAnsi="仿宋" w:eastAsia="仿宋" w:cs="仿宋"/>
          <w:sz w:val="24"/>
          <w:szCs w:val="28"/>
          <w:highlight w:val="none"/>
          <w:lang w:eastAsia="zh-CN"/>
        </w:rPr>
        <w:t>中选</w:t>
      </w:r>
      <w:r>
        <w:rPr>
          <w:rFonts w:hint="eastAsia" w:ascii="仿宋" w:hAnsi="仿宋" w:eastAsia="仿宋" w:cs="仿宋"/>
          <w:sz w:val="24"/>
          <w:szCs w:val="28"/>
          <w:highlight w:val="none"/>
        </w:rPr>
        <w:t>的唯一条件。</w:t>
      </w:r>
    </w:p>
    <w:p>
      <w:pP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九、若我方</w:t>
      </w:r>
      <w:r>
        <w:rPr>
          <w:rFonts w:hint="eastAsia" w:ascii="仿宋" w:hAnsi="仿宋" w:eastAsia="仿宋" w:cs="仿宋"/>
          <w:sz w:val="24"/>
          <w:szCs w:val="28"/>
          <w:highlight w:val="none"/>
          <w:lang w:eastAsia="zh-CN"/>
        </w:rPr>
        <w:t>中选</w:t>
      </w:r>
      <w:r>
        <w:rPr>
          <w:rFonts w:hint="eastAsia" w:ascii="仿宋" w:hAnsi="仿宋" w:eastAsia="仿宋" w:cs="仿宋"/>
          <w:sz w:val="24"/>
          <w:szCs w:val="28"/>
          <w:highlight w:val="none"/>
        </w:rPr>
        <w:t>，愿意按有关规定及竞争性比选文件要求缴纳采购代理服务费等。</w:t>
      </w:r>
    </w:p>
    <w:p>
      <w:pPr>
        <w:tabs>
          <w:tab w:val="left" w:pos="6300"/>
        </w:tabs>
        <w:snapToGrid w:val="0"/>
        <w:spacing w:line="500" w:lineRule="exact"/>
        <w:ind w:firstLine="570"/>
        <w:rPr>
          <w:rFonts w:hint="eastAsia" w:ascii="仿宋" w:hAnsi="仿宋" w:eastAsia="仿宋" w:cs="仿宋"/>
          <w:sz w:val="24"/>
          <w:szCs w:val="28"/>
          <w:highlight w:val="none"/>
        </w:rPr>
      </w:pPr>
    </w:p>
    <w:p>
      <w:pPr>
        <w:tabs>
          <w:tab w:val="left" w:pos="6300"/>
        </w:tabs>
        <w:snapToGrid w:val="0"/>
        <w:spacing w:line="500" w:lineRule="exact"/>
        <w:ind w:firstLine="5460" w:firstLineChars="2275"/>
        <w:rPr>
          <w:rFonts w:hint="eastAsia" w:ascii="仿宋" w:hAnsi="仿宋" w:eastAsia="仿宋" w:cs="仿宋"/>
          <w:sz w:val="24"/>
          <w:szCs w:val="28"/>
          <w:highlight w:val="none"/>
        </w:rPr>
      </w:pPr>
      <w:r>
        <w:rPr>
          <w:rFonts w:hint="eastAsia" w:ascii="仿宋" w:hAnsi="仿宋" w:eastAsia="仿宋" w:cs="仿宋"/>
          <w:sz w:val="24"/>
          <w:szCs w:val="28"/>
          <w:highlight w:val="none"/>
        </w:rPr>
        <w:t>（</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公章）</w:t>
      </w:r>
    </w:p>
    <w:p>
      <w:pPr>
        <w:tabs>
          <w:tab w:val="left" w:pos="6300"/>
        </w:tabs>
        <w:snapToGrid w:val="0"/>
        <w:spacing w:line="500" w:lineRule="exact"/>
        <w:ind w:firstLine="5760" w:firstLineChars="2400"/>
        <w:rPr>
          <w:rFonts w:hint="eastAsia" w:ascii="仿宋" w:hAnsi="仿宋" w:eastAsia="仿宋" w:cs="仿宋"/>
          <w:szCs w:val="28"/>
          <w:highlight w:val="none"/>
        </w:rPr>
      </w:pPr>
      <w:r>
        <w:rPr>
          <w:rFonts w:hint="eastAsia" w:ascii="仿宋" w:hAnsi="仿宋" w:eastAsia="仿宋" w:cs="仿宋"/>
          <w:sz w:val="24"/>
          <w:szCs w:val="28"/>
          <w:highlight w:val="none"/>
        </w:rPr>
        <w:t>年    月   日</w:t>
      </w:r>
    </w:p>
    <w:p>
      <w:pPr>
        <w:tabs>
          <w:tab w:val="left" w:pos="6300"/>
        </w:tabs>
        <w:snapToGrid w:val="0"/>
        <w:spacing w:line="500" w:lineRule="exact"/>
        <w:ind w:firstLine="560" w:firstLineChars="200"/>
        <w:outlineLvl w:val="0"/>
        <w:rPr>
          <w:rFonts w:hint="eastAsia" w:ascii="仿宋" w:hAnsi="仿宋" w:eastAsia="仿宋" w:cs="仿宋"/>
          <w:highlight w:val="none"/>
        </w:rPr>
      </w:pPr>
      <w:r>
        <w:rPr>
          <w:rFonts w:hint="eastAsia" w:ascii="仿宋" w:hAnsi="仿宋" w:eastAsia="仿宋" w:cs="仿宋"/>
          <w:szCs w:val="44"/>
          <w:highlight w:val="none"/>
        </w:rPr>
        <w:br w:type="page"/>
      </w:r>
      <w:r>
        <w:rPr>
          <w:rFonts w:hint="eastAsia" w:ascii="仿宋" w:hAnsi="仿宋" w:eastAsia="仿宋" w:cs="仿宋"/>
          <w:highlight w:val="none"/>
        </w:rPr>
        <w:t>（二）商务条款差异表</w:t>
      </w:r>
    </w:p>
    <w:p>
      <w:pPr>
        <w:pStyle w:val="9"/>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szCs w:val="28"/>
          <w:highlight w:val="none"/>
        </w:rPr>
        <w:t>项目名称</w:t>
      </w:r>
      <w:r>
        <w:rPr>
          <w:rFonts w:hint="eastAsia" w:ascii="仿宋" w:hAnsi="仿宋" w:eastAsia="仿宋" w:cs="仿宋"/>
          <w:sz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商务要求</w:t>
            </w: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竞标商务应答</w:t>
            </w: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969"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3081"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c>
          <w:tcPr>
            <w:tcW w:w="2307" w:type="dxa"/>
            <w:noWrap w:val="0"/>
            <w:vAlign w:val="center"/>
          </w:tcPr>
          <w:p>
            <w:pPr>
              <w:tabs>
                <w:tab w:val="left" w:pos="6300"/>
              </w:tabs>
              <w:snapToGrid w:val="0"/>
              <w:spacing w:line="500" w:lineRule="exact"/>
              <w:jc w:val="center"/>
              <w:outlineLvl w:val="0"/>
              <w:rPr>
                <w:rFonts w:hint="eastAsia" w:ascii="仿宋" w:hAnsi="仿宋" w:eastAsia="仿宋" w:cs="仿宋"/>
                <w:sz w:val="21"/>
                <w:szCs w:val="21"/>
                <w:highlight w:val="none"/>
              </w:rPr>
            </w:pPr>
          </w:p>
        </w:tc>
      </w:tr>
    </w:tbl>
    <w:p>
      <w:pPr>
        <w:spacing w:line="500" w:lineRule="exact"/>
        <w:rPr>
          <w:rFonts w:hint="eastAsia" w:ascii="仿宋" w:hAnsi="仿宋" w:eastAsia="仿宋" w:cs="仿宋"/>
          <w:sz w:val="24"/>
          <w:szCs w:val="28"/>
          <w:highlight w:val="none"/>
        </w:rPr>
      </w:pP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                            法定代表人或法定代表人授权代表：</w:t>
      </w:r>
    </w:p>
    <w:p>
      <w:pPr>
        <w:pStyle w:val="15"/>
        <w:rPr>
          <w:rFonts w:hint="eastAsia" w:ascii="仿宋" w:hAnsi="仿宋" w:eastAsia="仿宋" w:cs="仿宋"/>
          <w:highlight w:val="none"/>
        </w:rPr>
      </w:pPr>
    </w:p>
    <w:p>
      <w:pPr>
        <w:spacing w:line="500" w:lineRule="exact"/>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公章）                               （签字或盖章）</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pPr>
        <w:tabs>
          <w:tab w:val="left" w:pos="6300"/>
        </w:tabs>
        <w:snapToGrid w:val="0"/>
        <w:spacing w:line="500" w:lineRule="exact"/>
        <w:ind w:firstLine="570"/>
        <w:rPr>
          <w:rFonts w:hint="eastAsia" w:ascii="仿宋" w:hAnsi="仿宋" w:eastAsia="仿宋" w:cs="仿宋"/>
          <w:sz w:val="24"/>
          <w:highlight w:val="none"/>
        </w:rPr>
      </w:pPr>
      <w:r>
        <w:rPr>
          <w:rFonts w:hint="eastAsia" w:ascii="仿宋" w:hAnsi="仿宋" w:eastAsia="仿宋" w:cs="仿宋"/>
          <w:sz w:val="24"/>
          <w:highlight w:val="none"/>
        </w:rPr>
        <w:t>注：</w:t>
      </w:r>
    </w:p>
    <w:p>
      <w:pPr>
        <w:tabs>
          <w:tab w:val="left" w:pos="6300"/>
        </w:tabs>
        <w:snapToGrid w:val="0"/>
        <w:spacing w:line="500" w:lineRule="exact"/>
        <w:ind w:firstLine="570"/>
        <w:rPr>
          <w:rFonts w:hint="eastAsia" w:ascii="仿宋" w:hAnsi="仿宋" w:eastAsia="仿宋" w:cs="仿宋"/>
          <w:color w:val="auto"/>
          <w:sz w:val="24"/>
          <w:szCs w:val="24"/>
          <w:highlight w:val="none"/>
        </w:rPr>
      </w:pPr>
      <w:bookmarkStart w:id="140" w:name="_Toc492721041"/>
      <w:bookmarkStart w:id="141" w:name="_Toc429584888"/>
      <w:r>
        <w:rPr>
          <w:rFonts w:hint="eastAsia" w:ascii="仿宋" w:hAnsi="仿宋" w:eastAsia="仿宋" w:cs="仿宋"/>
          <w:color w:val="auto"/>
          <w:sz w:val="24"/>
          <w:szCs w:val="24"/>
          <w:highlight w:val="none"/>
        </w:rPr>
        <w:t>1.本表即为对本项目“第三篇 项目商务要求”中所列</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进行比较和响应</w:t>
      </w:r>
      <w:r>
        <w:rPr>
          <w:rFonts w:hint="eastAsia" w:ascii="仿宋" w:hAnsi="仿宋" w:eastAsia="仿宋" w:cs="仿宋"/>
          <w:color w:val="auto"/>
          <w:sz w:val="24"/>
          <w:szCs w:val="24"/>
          <w:highlight w:val="none"/>
          <w:lang w:eastAsia="zh-CN"/>
        </w:rPr>
        <w:t>。</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要求逐条如实填写，“竞标商务应答”栏需逐条填写具体内容，并在“差异说明”项填写正偏离或负偏离，完全符合的填写“无差异”，如“竞标商务应答”栏未填写具体内容或与“项目商务要求”要求的内容不完全一致，则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不能通过本项目的符合性审查。如“竞标商务应答”栏具体内容和“商务要求”栏具体内容一致但“差异说明”栏未填写则视为无差异。</w:t>
      </w:r>
    </w:p>
    <w:p>
      <w:pPr>
        <w:tabs>
          <w:tab w:val="left" w:pos="6300"/>
        </w:tabs>
        <w:snapToGrid w:val="0"/>
        <w:spacing w:line="500" w:lineRule="exact"/>
        <w:ind w:firstLine="57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3、该表可扩展。</w:t>
      </w:r>
    </w:p>
    <w:p>
      <w:pPr>
        <w:tabs>
          <w:tab w:val="left" w:pos="6300"/>
        </w:tabs>
        <w:snapToGrid w:val="0"/>
        <w:spacing w:line="500" w:lineRule="exact"/>
        <w:ind w:firstLine="480" w:firstLineChars="200"/>
        <w:outlineLvl w:val="0"/>
        <w:rPr>
          <w:rFonts w:hint="eastAsia" w:ascii="仿宋" w:hAnsi="仿宋" w:eastAsia="仿宋" w:cs="仿宋"/>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（三）</w:t>
      </w:r>
      <w:r>
        <w:rPr>
          <w:rFonts w:hint="eastAsia" w:ascii="仿宋" w:hAnsi="仿宋" w:eastAsia="仿宋" w:cs="仿宋"/>
          <w:highlight w:val="none"/>
        </w:rPr>
        <w:t>商务承诺（包括但不限于）</w:t>
      </w:r>
    </w:p>
    <w:p>
      <w:pPr>
        <w:tabs>
          <w:tab w:val="left" w:pos="6300"/>
        </w:tabs>
        <w:snapToGrid w:val="0"/>
        <w:spacing w:line="500" w:lineRule="exact"/>
        <w:ind w:firstLine="480" w:firstLineChars="200"/>
        <w:outlineLvl w:val="0"/>
        <w:rPr>
          <w:rFonts w:hint="eastAsia" w:ascii="仿宋" w:hAnsi="仿宋" w:eastAsia="仿宋" w:cs="仿宋"/>
          <w:sz w:val="24"/>
          <w:szCs w:val="24"/>
          <w:highlight w:val="none"/>
        </w:rPr>
      </w:pPr>
      <w:r>
        <w:rPr>
          <w:rFonts w:hint="eastAsia" w:ascii="仿宋" w:hAnsi="仿宋" w:eastAsia="仿宋" w:cs="仿宋"/>
          <w:sz w:val="24"/>
          <w:highlight w:val="none"/>
        </w:rPr>
        <w:t>1.售后服务方案</w:t>
      </w:r>
    </w:p>
    <w:p>
      <w:pPr>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2.培训</w:t>
      </w:r>
    </w:p>
    <w:p>
      <w:pPr>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3.质保期</w:t>
      </w:r>
    </w:p>
    <w:p>
      <w:pPr>
        <w:tabs>
          <w:tab w:val="left" w:pos="6300"/>
        </w:tabs>
        <w:snapToGrid w:val="0"/>
        <w:spacing w:line="500" w:lineRule="exact"/>
        <w:ind w:firstLine="480" w:firstLineChars="200"/>
        <w:outlineLvl w:val="0"/>
        <w:rPr>
          <w:rFonts w:hint="eastAsia" w:ascii="仿宋" w:hAnsi="仿宋" w:eastAsia="仿宋" w:cs="仿宋"/>
          <w:sz w:val="24"/>
          <w:highlight w:val="none"/>
        </w:rPr>
      </w:pPr>
      <w:r>
        <w:rPr>
          <w:rFonts w:hint="eastAsia" w:ascii="仿宋" w:hAnsi="仿宋" w:eastAsia="仿宋" w:cs="仿宋"/>
          <w:sz w:val="24"/>
          <w:highlight w:val="none"/>
        </w:rPr>
        <w:t>……</w:t>
      </w:r>
    </w:p>
    <w:p>
      <w:pPr>
        <w:tabs>
          <w:tab w:val="left" w:pos="6300"/>
        </w:tabs>
        <w:snapToGrid w:val="0"/>
        <w:spacing w:line="500" w:lineRule="exact"/>
        <w:ind w:firstLine="480" w:firstLineChars="200"/>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highlight w:val="none"/>
        </w:rPr>
        <w:t>（四）商务部分评分证明材料（如有）</w:t>
      </w:r>
    </w:p>
    <w:p>
      <w:pPr>
        <w:tabs>
          <w:tab w:val="left" w:pos="6300"/>
        </w:tabs>
        <w:snapToGrid w:val="0"/>
        <w:spacing w:line="500" w:lineRule="exact"/>
        <w:ind w:firstLine="562" w:firstLineChars="200"/>
        <w:outlineLvl w:val="0"/>
        <w:rPr>
          <w:rFonts w:hint="eastAsia" w:ascii="仿宋" w:hAnsi="仿宋" w:eastAsia="仿宋" w:cs="仿宋"/>
          <w:b/>
          <w:sz w:val="21"/>
          <w:szCs w:val="28"/>
          <w:highlight w:val="none"/>
        </w:rPr>
      </w:pPr>
      <w:r>
        <w:rPr>
          <w:rFonts w:hint="eastAsia" w:ascii="仿宋" w:hAnsi="仿宋" w:eastAsia="仿宋" w:cs="仿宋"/>
          <w:b/>
          <w:szCs w:val="28"/>
          <w:highlight w:val="none"/>
        </w:rPr>
        <w:br w:type="page"/>
      </w:r>
      <w:bookmarkEnd w:id="140"/>
      <w:bookmarkEnd w:id="141"/>
      <w:bookmarkStart w:id="142" w:name="_Toc16167"/>
      <w:r>
        <w:rPr>
          <w:rStyle w:val="23"/>
          <w:rFonts w:hint="eastAsia" w:ascii="仿宋" w:hAnsi="仿宋" w:eastAsia="仿宋" w:cs="仿宋"/>
          <w:b/>
          <w:bCs/>
          <w:szCs w:val="22"/>
          <w:highlight w:val="none"/>
        </w:rPr>
        <w:t>五、其他</w:t>
      </w:r>
      <w:bookmarkEnd w:id="142"/>
    </w:p>
    <w:p>
      <w:pPr>
        <w:ind w:firstLine="560" w:firstLineChars="200"/>
        <w:jc w:val="left"/>
        <w:rPr>
          <w:rFonts w:hint="eastAsia" w:ascii="仿宋" w:hAnsi="仿宋" w:eastAsia="仿宋" w:cs="仿宋"/>
          <w:highlight w:val="none"/>
        </w:rPr>
      </w:pPr>
      <w:r>
        <w:rPr>
          <w:rFonts w:hint="eastAsia" w:ascii="仿宋" w:hAnsi="仿宋" w:eastAsia="仿宋" w:cs="仿宋"/>
          <w:highlight w:val="none"/>
        </w:rPr>
        <w:t>（一）其他与项目有关的资料（自附）</w:t>
      </w:r>
    </w:p>
    <w:p>
      <w:pPr>
        <w:spacing w:line="360" w:lineRule="auto"/>
        <w:ind w:firstLine="560" w:firstLineChars="200"/>
        <w:rPr>
          <w:rFonts w:hint="eastAsia" w:ascii="仿宋" w:hAnsi="仿宋" w:eastAsia="仿宋" w:cs="仿宋"/>
          <w:b/>
          <w:bCs w:val="0"/>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b/>
          <w:bCs w:val="0"/>
          <w:color w:val="auto"/>
          <w:sz w:val="28"/>
          <w:szCs w:val="28"/>
          <w:highlight w:val="none"/>
          <w:lang w:val="en-US" w:eastAsia="zh-CN"/>
        </w:rPr>
        <w:t>注意：请各供应商填写下附《</w:t>
      </w:r>
      <w:r>
        <w:rPr>
          <w:rFonts w:hint="eastAsia" w:ascii="仿宋" w:hAnsi="仿宋" w:eastAsia="仿宋" w:cs="仿宋"/>
          <w:b/>
          <w:bCs w:val="0"/>
          <w:color w:val="auto"/>
          <w:sz w:val="28"/>
          <w:szCs w:val="28"/>
          <w:highlight w:val="none"/>
        </w:rPr>
        <w:t>反商业贿赂承诺书</w:t>
      </w:r>
      <w:r>
        <w:rPr>
          <w:rFonts w:hint="eastAsia" w:ascii="仿宋" w:hAnsi="仿宋" w:eastAsia="仿宋" w:cs="仿宋"/>
          <w:b/>
          <w:bCs w:val="0"/>
          <w:color w:val="auto"/>
          <w:sz w:val="28"/>
          <w:szCs w:val="28"/>
          <w:highlight w:val="none"/>
          <w:lang w:val="en-US" w:eastAsia="zh-CN"/>
        </w:rPr>
        <w:t>》并放入申请文件中</w:t>
      </w:r>
    </w:p>
    <w:p>
      <w:pPr>
        <w:pStyle w:val="14"/>
        <w:widowControl/>
        <w:spacing w:line="600" w:lineRule="exact"/>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附件</w:t>
      </w:r>
    </w:p>
    <w:p>
      <w:pPr>
        <w:widowControl/>
        <w:spacing w:line="600" w:lineRule="exact"/>
        <w:jc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反商业贿赂承诺书</w:t>
      </w:r>
    </w:p>
    <w:p>
      <w:pPr>
        <w:widowControl/>
        <w:spacing w:line="600" w:lineRule="exact"/>
        <w:jc w:val="center"/>
        <w:rPr>
          <w:rFonts w:hint="eastAsia" w:ascii="仿宋" w:hAnsi="仿宋" w:eastAsia="仿宋" w:cs="仿宋"/>
          <w:color w:val="000000"/>
          <w:kern w:val="0"/>
          <w:sz w:val="28"/>
          <w:szCs w:val="28"/>
          <w:highlight w:val="none"/>
          <w:lang w:bidi="ar"/>
        </w:rPr>
      </w:pPr>
    </w:p>
    <w:p>
      <w:pPr>
        <w:pStyle w:val="14"/>
        <w:widowControl/>
        <w:spacing w:line="6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名称）郑重承诺：</w:t>
      </w:r>
    </w:p>
    <w:p>
      <w:pPr>
        <w:pStyle w:val="14"/>
        <w:widowControl/>
        <w:spacing w:line="6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（项目名称、项目号）政府采购项目中，我公司保证做到：</w:t>
      </w:r>
    </w:p>
    <w:p>
      <w:pPr>
        <w:pStyle w:val="14"/>
        <w:widowControl/>
        <w:numPr>
          <w:ilvl w:val="0"/>
          <w:numId w:val="0"/>
        </w:num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1.</w:t>
      </w:r>
      <w:r>
        <w:rPr>
          <w:rFonts w:hint="eastAsia" w:ascii="仿宋" w:hAnsi="仿宋" w:eastAsia="仿宋" w:cs="仿宋"/>
          <w:color w:val="000000"/>
          <w:sz w:val="28"/>
          <w:szCs w:val="28"/>
          <w:highlight w:val="none"/>
        </w:rPr>
        <w:t>严格遵守国家法律法规，与</w:t>
      </w:r>
      <w:r>
        <w:rPr>
          <w:rFonts w:hint="eastAsia" w:ascii="仿宋" w:hAnsi="仿宋" w:eastAsia="仿宋" w:cs="仿宋"/>
          <w:color w:val="000000"/>
          <w:sz w:val="28"/>
          <w:szCs w:val="28"/>
          <w:highlight w:val="none"/>
          <w:lang w:eastAsia="zh-CN"/>
        </w:rPr>
        <w:t>招标人</w:t>
      </w:r>
      <w:r>
        <w:rPr>
          <w:rFonts w:hint="eastAsia" w:ascii="仿宋" w:hAnsi="仿宋" w:eastAsia="仿宋" w:cs="仿宋"/>
          <w:color w:val="000000"/>
          <w:sz w:val="28"/>
          <w:szCs w:val="28"/>
          <w:highlight w:val="none"/>
        </w:rPr>
        <w:t>正常业务交往，杜绝任何形式的商业贿赂行为。</w:t>
      </w:r>
    </w:p>
    <w:p>
      <w:pPr>
        <w:pStyle w:val="14"/>
        <w:widowControl/>
        <w:numPr>
          <w:ilvl w:val="0"/>
          <w:numId w:val="0"/>
        </w:num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2.</w:t>
      </w:r>
      <w:r>
        <w:rPr>
          <w:rFonts w:hint="eastAsia" w:ascii="仿宋" w:hAnsi="仿宋" w:eastAsia="仿宋" w:cs="仿宋"/>
          <w:color w:val="000000"/>
          <w:sz w:val="28"/>
          <w:szCs w:val="28"/>
          <w:highlight w:val="none"/>
        </w:rPr>
        <w:t>不向国家工作人员、政府采购代理机构工作人员、其他</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、第三方专业机构、专家、服务对象提供礼品礼金、有价证券、购物券、回扣、佣金、咨询费、劳务费、赞助费、宣传费、宴请；不为其报销各种消费凭证，不支付其旅游、娱乐等费用。</w:t>
      </w:r>
    </w:p>
    <w:p>
      <w:pPr>
        <w:pStyle w:val="14"/>
        <w:widowControl/>
        <w:numPr>
          <w:ilvl w:val="0"/>
          <w:numId w:val="0"/>
        </w:numPr>
        <w:spacing w:line="600" w:lineRule="exact"/>
        <w:ind w:firstLine="560" w:firstLineChars="200"/>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
        </w:rPr>
        <w:t>3.</w:t>
      </w:r>
      <w:r>
        <w:rPr>
          <w:rFonts w:hint="eastAsia" w:ascii="仿宋" w:hAnsi="仿宋" w:eastAsia="仿宋" w:cs="仿宋"/>
          <w:color w:val="000000"/>
          <w:sz w:val="28"/>
          <w:szCs w:val="28"/>
          <w:highlight w:val="none"/>
        </w:rPr>
        <w:t>若违反上述承诺，我公司及相关工作人员愿意接受按照国家法律法规等有关规定给予的处罚。</w:t>
      </w:r>
    </w:p>
    <w:p>
      <w:pPr>
        <w:pStyle w:val="14"/>
        <w:widowControl/>
        <w:spacing w:line="600" w:lineRule="exact"/>
        <w:ind w:firstLine="64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特此承诺。</w:t>
      </w:r>
    </w:p>
    <w:p>
      <w:pPr>
        <w:pStyle w:val="14"/>
        <w:widowControl/>
        <w:spacing w:line="600" w:lineRule="exact"/>
        <w:jc w:val="center"/>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公章）</w:t>
      </w:r>
    </w:p>
    <w:p>
      <w:pPr>
        <w:spacing w:line="360" w:lineRule="auto"/>
        <w:ind w:firstLine="640" w:firstLineChars="200"/>
        <w:jc w:val="left"/>
        <w:rPr>
          <w:rFonts w:hint="eastAsia" w:ascii="仿宋" w:hAnsi="仿宋" w:eastAsia="仿宋" w:cs="仿宋"/>
          <w:color w:val="auto"/>
          <w:sz w:val="24"/>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sz w:val="32"/>
          <w:szCs w:val="32"/>
          <w:highlight w:val="none"/>
        </w:rPr>
        <w:t>年</w:t>
      </w: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sz w:val="32"/>
          <w:szCs w:val="32"/>
          <w:highlight w:val="none"/>
        </w:rPr>
        <w:t>月</w:t>
      </w:r>
      <w:r>
        <w:rPr>
          <w:rFonts w:hint="eastAsia" w:ascii="仿宋" w:hAnsi="仿宋" w:eastAsia="仿宋" w:cs="仿宋"/>
          <w:sz w:val="32"/>
          <w:szCs w:val="32"/>
          <w:highlight w:val="none"/>
          <w:lang w:val="en-US" w:eastAsia="zh-CN"/>
        </w:rPr>
        <w:t xml:space="preserve">   </w:t>
      </w:r>
      <w:r>
        <w:rPr>
          <w:rFonts w:hint="eastAsia" w:ascii="仿宋" w:hAnsi="仿宋" w:eastAsia="仿宋" w:cs="仿宋"/>
          <w:color w:val="000000"/>
          <w:sz w:val="32"/>
          <w:szCs w:val="32"/>
          <w:highlight w:val="none"/>
        </w:rPr>
        <w:t>日</w:t>
      </w:r>
    </w:p>
    <w:p>
      <w:pPr>
        <w:tabs>
          <w:tab w:val="left" w:pos="6300"/>
        </w:tabs>
        <w:snapToGrid w:val="0"/>
        <w:spacing w:line="360" w:lineRule="auto"/>
        <w:jc w:val="left"/>
        <w:rPr>
          <w:rFonts w:hint="eastAsia" w:ascii="仿宋" w:hAnsi="仿宋" w:eastAsia="仿宋" w:cs="仿宋"/>
          <w:color w:val="auto"/>
          <w:sz w:val="24"/>
          <w:highlight w:val="none"/>
        </w:rPr>
      </w:pPr>
    </w:p>
    <w:p>
      <w:pPr>
        <w:tabs>
          <w:tab w:val="left" w:pos="6300"/>
        </w:tabs>
        <w:snapToGrid w:val="0"/>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（结束）</w:t>
      </w:r>
    </w:p>
    <w:p>
      <w:pPr>
        <w:rPr>
          <w:highlight w:val="none"/>
        </w:rPr>
      </w:pPr>
    </w:p>
    <w:sectPr>
      <w:headerReference r:id="rId9" w:type="default"/>
      <w:footerReference r:id="rId10" w:type="default"/>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4"/>
      </w:rPr>
    </w:pPr>
    <w:r>
      <w:rPr>
        <w:sz w:val="24"/>
      </w:rPr>
      <w:fldChar w:fldCharType="begin"/>
    </w:r>
    <w:r>
      <w:rPr>
        <w:rStyle w:val="18"/>
        <w:sz w:val="24"/>
      </w:rPr>
      <w:instrText xml:space="preserve"> PAGE </w:instrText>
    </w:r>
    <w:r>
      <w:rPr>
        <w:sz w:val="24"/>
      </w:rPr>
      <w:fldChar w:fldCharType="separate"/>
    </w:r>
    <w:r>
      <w:rPr>
        <w:rStyle w:val="18"/>
        <w:sz w:val="24"/>
      </w:rPr>
      <w:t>- 3 -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r>
      <w:fldChar w:fldCharType="begin"/>
    </w:r>
    <w:r>
      <w:rPr>
        <w:rStyle w:val="18"/>
      </w:rPr>
      <w:instrText xml:space="preserve"> PAGE </w:instrText>
    </w:r>
    <w:r>
      <w:fldChar w:fldCharType="separate"/>
    </w:r>
    <w:r>
      <w:rPr>
        <w:rStyle w:val="18"/>
      </w:rPr>
      <w:t>- 14 -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- 24 -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both"/>
      <w:rPr>
        <w:rFonts w:hint="eastAsia" w:ascii="方正仿宋_GBK" w:eastAsia="方正仿宋_GBK"/>
        <w:sz w:val="21"/>
        <w:szCs w:val="24"/>
      </w:rPr>
    </w:pPr>
    <w:r>
      <w:rPr>
        <w:rFonts w:hint="eastAsia"/>
      </w:rPr>
      <w:drawing>
        <wp:inline distT="0" distB="0" distL="114300" distR="114300">
          <wp:extent cx="3060700" cy="419100"/>
          <wp:effectExtent l="0" t="0" r="6350" b="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
                  <a:stretch>
                    <a:fillRect/>
                  </a:stretch>
                </pic:blipFill>
                <pic:spPr>
                  <a:xfrm>
                    <a:off x="0" y="0"/>
                    <a:ext cx="3060700" cy="419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bookmarkStart w:id="143" w:name="OLE_LINK49"/>
    <w:bookmarkStart w:id="144" w:name="OLE_LINK50"/>
    <w:r>
      <w:drawing>
        <wp:inline distT="0" distB="0" distL="114300" distR="114300">
          <wp:extent cx="5971540" cy="476250"/>
          <wp:effectExtent l="0" t="0" r="10160" b="0"/>
          <wp:docPr id="5" name="图片 1" descr="竖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竖页眉-1"/>
                  <pic:cNvPicPr>
                    <a:picLocks noChangeAspect="1"/>
                  </pic:cNvPicPr>
                </pic:nvPicPr>
                <pic:blipFill>
                  <a:blip r:embed="rId1"/>
                  <a:stretch>
                    <a:fillRect/>
                  </a:stretch>
                </pic:blipFill>
                <pic:spPr>
                  <a:xfrm>
                    <a:off x="0" y="0"/>
                    <a:ext cx="5971540" cy="476250"/>
                  </a:xfrm>
                  <a:prstGeom prst="rect">
                    <a:avLst/>
                  </a:prstGeom>
                  <a:noFill/>
                  <a:ln>
                    <a:noFill/>
                  </a:ln>
                </pic:spPr>
              </pic:pic>
            </a:graphicData>
          </a:graphic>
        </wp:inline>
      </w:drawing>
    </w:r>
    <w:bookmarkEnd w:id="143"/>
    <w:bookmarkEnd w:id="14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方正仿宋_GBK" w:eastAsia="方正仿宋_GBK"/>
        <w:sz w:val="21"/>
        <w:szCs w:val="21"/>
      </w:rPr>
    </w:pPr>
    <w:r>
      <w:rPr>
        <w:rFonts w:hint="eastAsia"/>
      </w:rPr>
      <w:drawing>
        <wp:inline distT="0" distB="0" distL="114300" distR="114300">
          <wp:extent cx="3060700" cy="419100"/>
          <wp:effectExtent l="0" t="0" r="6350" b="0"/>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
                  <a:stretch>
                    <a:fillRect/>
                  </a:stretch>
                </pic:blipFill>
                <pic:spPr>
                  <a:xfrm>
                    <a:off x="0" y="0"/>
                    <a:ext cx="3060700" cy="4191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方正仿宋_GBK" w:eastAsia="方正仿宋_GBK"/>
        <w:sz w:val="21"/>
        <w:szCs w:val="24"/>
      </w:rPr>
    </w:pPr>
    <w:r>
      <w:rPr>
        <w:rFonts w:hint="eastAsia"/>
      </w:rPr>
      <w:drawing>
        <wp:inline distT="0" distB="0" distL="114300" distR="114300">
          <wp:extent cx="3060700" cy="419100"/>
          <wp:effectExtent l="0" t="0" r="6350" b="0"/>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1"/>
                  <a:stretch>
                    <a:fillRect/>
                  </a:stretch>
                </pic:blipFill>
                <pic:spPr>
                  <a:xfrm>
                    <a:off x="0" y="0"/>
                    <a:ext cx="30607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B6DD7"/>
    <w:multiLevelType w:val="singleLevel"/>
    <w:tmpl w:val="BF3B6DD7"/>
    <w:lvl w:ilvl="0" w:tentative="0">
      <w:start w:val="2"/>
      <w:numFmt w:val="chineseCounting"/>
      <w:suff w:val="space"/>
      <w:lvlText w:val="第%1篇"/>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5D0A30BA"/>
    <w:rsid w:val="0D974F32"/>
    <w:rsid w:val="3C3641D7"/>
    <w:rsid w:val="436B11B8"/>
    <w:rsid w:val="566F3844"/>
    <w:rsid w:val="5D0A30BA"/>
    <w:rsid w:val="7EFE2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kern w:val="0"/>
      <w:sz w:val="44"/>
    </w:rPr>
  </w:style>
  <w:style w:type="paragraph" w:styleId="4">
    <w:name w:val="heading 2"/>
    <w:basedOn w:val="1"/>
    <w:next w:val="1"/>
    <w:link w:val="23"/>
    <w:qFormat/>
    <w:uiPriority w:val="0"/>
    <w:pPr>
      <w:keepNext/>
      <w:keepLines/>
      <w:adjustRightInd w:val="0"/>
      <w:snapToGrid w:val="0"/>
      <w:spacing w:line="360" w:lineRule="auto"/>
      <w:outlineLvl w:val="1"/>
    </w:pPr>
    <w:rPr>
      <w:rFonts w:ascii="宋体" w:hAnsi="宋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toc 2"/>
    <w:basedOn w:val="1"/>
    <w:next w:val="1"/>
    <w:qFormat/>
    <w:uiPriority w:val="39"/>
    <w:pPr>
      <w:tabs>
        <w:tab w:val="right" w:leader="dot" w:pos="8400"/>
      </w:tabs>
      <w:spacing w:line="440" w:lineRule="exact"/>
      <w:ind w:left="280" w:leftChars="100" w:rightChars="-91"/>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Body Text First Indent"/>
    <w:basedOn w:val="2"/>
    <w:next w:val="1"/>
    <w:qFormat/>
    <w:uiPriority w:val="0"/>
    <w:pPr>
      <w:spacing w:line="360" w:lineRule="auto"/>
      <w:ind w:firstLine="420"/>
    </w:pPr>
    <w:rPr>
      <w:rFonts w:ascii="宋体" w:hAnsi="宋体"/>
      <w:sz w:val="24"/>
    </w:rPr>
  </w:style>
  <w:style w:type="character" w:styleId="18">
    <w:name w:val="page number"/>
    <w:qFormat/>
    <w:uiPriority w:val="0"/>
  </w:style>
  <w:style w:type="character" w:customStyle="1" w:styleId="19">
    <w:name w:val="NormalCharacter"/>
    <w:qFormat/>
    <w:uiPriority w:val="0"/>
    <w:rPr>
      <w:rFonts w:ascii="Times New Roman" w:hAnsi="Times New Roman" w:eastAsia="宋体" w:cs="Times New Roman"/>
    </w:rPr>
  </w:style>
  <w:style w:type="paragraph" w:styleId="20">
    <w:name w:val="List Paragraph"/>
    <w:basedOn w:val="1"/>
    <w:qFormat/>
    <w:uiPriority w:val="34"/>
    <w:pPr>
      <w:ind w:firstLine="420" w:firstLineChars="200"/>
    </w:pPr>
  </w:style>
  <w:style w:type="paragraph" w:customStyle="1" w:styleId="21">
    <w:name w:val="正文 A"/>
    <w:qFormat/>
    <w:uiPriority w:val="0"/>
    <w:pPr>
      <w:widowControl w:val="0"/>
      <w:jc w:val="both"/>
    </w:pPr>
    <w:rPr>
      <w:rFonts w:ascii="Times New Roman" w:hAnsi="Times New Roman" w:eastAsia="Arial Unicode MS" w:cs="Arial Unicode MS"/>
      <w:color w:val="000000"/>
      <w:kern w:val="2"/>
      <w:sz w:val="28"/>
      <w:szCs w:val="28"/>
      <w:u w:val="none" w:color="000000"/>
      <w:lang w:val="en-US" w:eastAsia="zh-CN" w:bidi="ar-SA"/>
    </w:rPr>
  </w:style>
  <w:style w:type="character" w:customStyle="1" w:styleId="22">
    <w:name w:val="Hyperlink.0"/>
    <w:basedOn w:val="18"/>
    <w:qFormat/>
    <w:uiPriority w:val="0"/>
    <w:rPr>
      <w:lang w:val="en-US"/>
    </w:rPr>
  </w:style>
  <w:style w:type="character" w:customStyle="1" w:styleId="23">
    <w:name w:val="标题 2 字符"/>
    <w:link w:val="4"/>
    <w:qFormat/>
    <w:uiPriority w:val="0"/>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17714</Words>
  <Characters>18629</Characters>
  <Lines>0</Lines>
  <Paragraphs>0</Paragraphs>
  <TotalTime>5</TotalTime>
  <ScaleCrop>false</ScaleCrop>
  <LinksUpToDate>false</LinksUpToDate>
  <CharactersWithSpaces>20206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2026-02-10T01:32:00Z</dcterms:created>
  <dc:creator>WPS_1717571575</dc:creator>
  <cp:lastModifiedBy>WPS_1717571575</cp:lastModifiedBy>
  <dcterms:modified xsi:type="dcterms:W3CDTF">2026-02-11T03:54:17Z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D966DA43A7434E609CAA694BFE20C8E5_11</vt:lpwstr>
  </property>
  <property fmtid="{D5CDD505-2E9C-101B-9397-08002B2CF9AE}" pid="4" name="KSOTemplateDocerSaveRecord">
    <vt:lpwstr>eyJoZGlkIjoiYWNkYmE1YWE2NGRiODNiOWJlODlhN2RkOWFkYTFhY2QiLCJ1c2VySWQiOiIzNzc1NDU4OTMifQ==</vt:lpwstr>
  </property>
</Properties>
</file>