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eastAsia="宋体" w:cs="宋体"/>
          <w:b/>
          <w:sz w:val="40"/>
          <w:szCs w:val="40"/>
        </w:rPr>
      </w:pPr>
      <w:bookmarkStart w:id="0" w:name="OLE_LINK4"/>
      <w:bookmarkStart w:id="1" w:name="OLE_LINK3"/>
      <w:r>
        <w:rPr>
          <w:rFonts w:hint="eastAsia" w:ascii="宋体" w:hAnsi="宋体" w:eastAsia="宋体" w:cs="宋体"/>
          <w:b/>
          <w:sz w:val="40"/>
          <w:szCs w:val="40"/>
        </w:rPr>
        <w:t>重庆</w:t>
      </w:r>
      <w:r>
        <w:rPr>
          <w:rFonts w:hint="eastAsia" w:ascii="宋体" w:hAnsi="宋体" w:eastAsia="宋体" w:cs="宋体"/>
          <w:b/>
          <w:sz w:val="40"/>
          <w:szCs w:val="40"/>
          <w:lang w:val="en-US" w:eastAsia="zh-CN"/>
        </w:rPr>
        <w:t>市</w:t>
      </w:r>
      <w:r>
        <w:rPr>
          <w:rFonts w:hint="eastAsia" w:ascii="宋体" w:hAnsi="宋体" w:eastAsia="宋体" w:cs="宋体"/>
          <w:b/>
          <w:sz w:val="40"/>
          <w:szCs w:val="40"/>
        </w:rPr>
        <w:t>两江新区人民医院</w:t>
      </w:r>
    </w:p>
    <w:p>
      <w:pPr>
        <w:spacing w:line="600" w:lineRule="exact"/>
        <w:jc w:val="center"/>
        <w:rPr>
          <w:rFonts w:hint="eastAsia" w:ascii="宋体" w:hAnsi="宋体" w:eastAsia="宋体" w:cs="宋体"/>
          <w:b/>
          <w:sz w:val="40"/>
          <w:szCs w:val="40"/>
        </w:rPr>
      </w:pPr>
      <w:r>
        <w:rPr>
          <w:rFonts w:hint="eastAsia" w:ascii="宋体" w:hAnsi="宋体" w:eastAsia="宋体" w:cs="宋体"/>
          <w:b/>
          <w:sz w:val="40"/>
          <w:szCs w:val="40"/>
        </w:rPr>
        <w:t>一院三区医疗物资及血液制品低空运输服务</w:t>
      </w:r>
    </w:p>
    <w:bookmarkEnd w:id="0"/>
    <w:p>
      <w:pPr>
        <w:spacing w:line="600" w:lineRule="exact"/>
        <w:jc w:val="center"/>
        <w:rPr>
          <w:rFonts w:hint="eastAsia" w:ascii="宋体" w:hAnsi="宋体" w:eastAsia="宋体" w:cs="宋体"/>
          <w:b/>
          <w:sz w:val="40"/>
          <w:szCs w:val="40"/>
        </w:rPr>
      </w:pPr>
      <w:r>
        <w:rPr>
          <w:rFonts w:hint="eastAsia" w:ascii="宋体" w:hAnsi="宋体" w:eastAsia="宋体" w:cs="宋体"/>
          <w:b/>
          <w:sz w:val="40"/>
          <w:szCs w:val="40"/>
        </w:rPr>
        <w:t>采购项目需求调查公告</w:t>
      </w:r>
    </w:p>
    <w:bookmarkEnd w:id="1"/>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u w:val="single"/>
        </w:rPr>
        <w:t>重庆市两江新区人民医院一院三区医疗物资及血液制品低空运输服务采购项目</w:t>
      </w:r>
      <w:r>
        <w:rPr>
          <w:rFonts w:hint="eastAsia" w:ascii="宋体" w:hAnsi="宋体" w:eastAsia="宋体" w:cs="宋体"/>
          <w:sz w:val="28"/>
          <w:szCs w:val="28"/>
        </w:rPr>
        <w:t>现开展采购需求调查工作，欢迎具有合格资质且有良好信誉和售后服务能力的供应商积极报送资料。</w:t>
      </w:r>
    </w:p>
    <w:p>
      <w:pPr>
        <w:spacing w:line="580" w:lineRule="exact"/>
        <w:outlineLvl w:val="0"/>
        <w:rPr>
          <w:rFonts w:hint="eastAsia" w:ascii="宋体" w:hAnsi="宋体" w:eastAsia="宋体" w:cs="宋体"/>
          <w:b/>
          <w:bCs/>
          <w:sz w:val="28"/>
          <w:szCs w:val="28"/>
        </w:rPr>
      </w:pPr>
      <w:r>
        <w:rPr>
          <w:rFonts w:hint="eastAsia" w:ascii="宋体" w:hAnsi="宋体" w:eastAsia="宋体" w:cs="宋体"/>
          <w:b/>
          <w:bCs/>
          <w:sz w:val="28"/>
          <w:szCs w:val="28"/>
        </w:rPr>
        <w:t>一、项目基本情况</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该项目立足国家优质医疗资源扩容与低空经济战略，针对院区协同效率低、急救用血配送慢等痛点，建设“一院三区”与血液制品无人机运输平台。通过信息化手段实现三院区医疗质量、诊疗服务同质化贯通；同时搭建连接血站与院区的空中航线，用于血液制品快速运输。项目旨在构建“空地一体”医疗服务体系，预计血液配送时效提升50%以上，实现从“血站到手术室”的分钟级直达 。</w:t>
      </w:r>
    </w:p>
    <w:p>
      <w:pPr>
        <w:spacing w:line="580" w:lineRule="exact"/>
        <w:outlineLvl w:val="0"/>
        <w:rPr>
          <w:rFonts w:hint="eastAsia" w:ascii="宋体" w:hAnsi="宋体" w:eastAsia="宋体" w:cs="宋体"/>
          <w:b/>
          <w:bCs/>
          <w:sz w:val="28"/>
          <w:szCs w:val="28"/>
        </w:rPr>
      </w:pPr>
      <w:r>
        <w:rPr>
          <w:rFonts w:hint="eastAsia" w:ascii="宋体" w:hAnsi="宋体" w:eastAsia="宋体" w:cs="宋体"/>
          <w:b/>
          <w:bCs/>
          <w:sz w:val="28"/>
          <w:szCs w:val="28"/>
        </w:rPr>
        <w:t>二、技术要求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（一）整体服务要求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1.对一院三区医疗物资及血液制品低空运输等标准服务；</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2.合同期内，服务商根据一院三区医疗的发展需求提供运输所需设施、工具支持等情况。</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（二）详细服务要求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1.负责搭建一院三区低空物流服务平台（包括两江新区人民医院A、B以及礼嘉三个院区），对医疗物资及血液制品运输等提供标准服务；</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（1）服务商负责无人机起降平台的建设及日常运营管理、血液制品及检验标本的冷链运输等；</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（2）服务商具有监控无人机运行轨迹和运输时间的系统，如遇特殊情况需要临时调度无人机的可通过系统调动最近距离的无人机及时运输。</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（3）标本转运：按标本保存要求进行符合生物安全的冷链运输，保证血液制品及血液标本等的可靠性和有效性。</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（4）运输器具及人员消毒：运输用标本箱、无人机及人员按国家规定相关要求进行消毒处理。</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物流应急方案：合作方应建立完善的应急预案机制，针对突发事件如自然灾害、重特大事故及人为破坏等可能造成的人员伤亡、标本意外、信息中断等实施分等级应急管理与救援计划，以实现强有力的应急救援保障体系。</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（6）绿色通道：当出现需要紧急运输时，应启动物流绿色通道，完成相应物资及血液制品的运输。</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2.无人机参数要求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供应商需为本项目配备性能优异、安全可靠的无人机及配套设施，具体要求不低于以下规格：</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（1）中型无人机</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主要满足大容量、长航程的血液及紧急物资调拨需求，其核心参数应满足：</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①　载荷与航程能力：额定有效载荷≥30kg；在20kg载荷下续航里程≥60km。</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②　货舱容量：标配模块化货舱，容积≥140L。</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③　飞行速度：最大巡航速度≥90km/h，确保血液运输的时效性。</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④　环境适应性：防护等级≥IP54；工作环境温度涵盖-20℃至+45℃；抗风能力≥12.0m/s（6级风）。</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⑤　通信保障：必须具备4G/5G多链路融合通信能力，支持超视距安全管控。</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⑥　安全防御：具备多向避障功能及动力冗余设计，确保在复杂城区环境下运行安全。</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（2）小型无人机</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①　主要满足高频次、灵活性强的临床标本配送需求，其核心参数应满足：</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②　飞行续航：满载条件下，最大飞行距离≥18km；满载悬停时间≥25min。</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③　飞行精度：悬停精度（水平/垂直）≤pm±0.1m（需具备 RTK 定位功能）。</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④　作业可靠性：防护等级≥IPX4；且具备中雨、中雪环境下的正常飞行能力；工作环境温度涵盖-10℃至+50℃。</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⑤　通信保障：必须具备4G/5G多链路融合通信能力，支持超视距安全管控。</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⑥　安全防御：具备多向避障功能及动力冗余设计，确保在复杂城区环境下运行安全。</w:t>
      </w:r>
    </w:p>
    <w:p>
      <w:pPr>
        <w:spacing w:line="580" w:lineRule="exact"/>
        <w:ind w:firstLine="560" w:firstLineChars="200"/>
        <w:rPr>
          <w:rFonts w:hint="eastAsia" w:ascii="宋体" w:hAnsi="宋体" w:eastAsia="宋体" w:cs="宋体"/>
          <w:sz w:val="28"/>
          <w:szCs w:val="28"/>
        </w:rPr>
      </w:pP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3.标本配送要求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(1)运输时有特殊保温箱和内部冷链措施，确保标本运输箱内恒温2至8℃；</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(2)运输箱承重标本重量5kg以上，单次能容纳200以上个血液样本；</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(3)运输箱箱体在盖合后整体密闭，能防尘、防雨、防火、防震等；</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(4)运输箱体外观和内壁表面光洁平整无裂痕，能防液体渗漏，易清洁和消毒；</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(5)实时监控飞行器位置、箱体内温度；</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(6)能实现紧急标本的快速运输；</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(7)生物样本与其他运输物品需要有隔离措施，避免生物安全风险；</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(8)实现运输箱内标本直立运输，有清楚标识，实现不同标本分区，可以放置体液样本；</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(9)有降落伞等保证标本安全的措施。</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4.血液配送要求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(1)血液运输保存条件</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符合《中华人民共和国卫生行业标准&lt;血液运输标准&gt;（WS 400-2023）》文件要求。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(2)运输方式</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在运输不同保存温度的成分血时，应按温度要求进行分隔。采用血液运输箱运输的，不同运输温度的全血及成分血应分箱运输。不应在同一运输箱内混装其他无关物品。低空飞行器应满足同时运载3个不同保存温度的血液制品冷链箱，且运输重量≥20KG。</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(3)运输中各血液制品要求的温度</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①　全血及红细胞类成分血（不包括冰冻红细胞）：应维持在 2℃～10℃。</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②　血浆类成分血（包括冷沉淀）：应维持在冰冻状态（0度以下）。</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③　血小板类成分血、粒细胞类成分血：应维持在 20℃～24℃。</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5.血液运输箱要求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(1)单个运输箱最大有效容积≥15L，蓄冷剂控温。</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(2)外观和内壁应符合以下要求：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(3)箱体在盖合后整体密闭，能防尘、防雨、防滑；</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(4)箱体外观和内壁表面光洁平整无裂痕，能防液体渗漏，易清洁和消毒；</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(5)在正常使用条件下，箱体不变形；</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(6)箱体内部材料不自发产生有害气体。</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(7)运输箱和蓄冷剂的使用参照厂商使用说明书。运输箱和蓄冷剂应保持清洁状态。</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(8)运输箱的保温性能、保温时长应符合预期使用要求。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(9)运输箱应有相应的标识，标识完整、清晰，包括但不限于下列内容：a) 医疗机构名称；b) 最大承重质量；c) 放置方向、防摔、防晒、防雨；d) 最多叠放层数；e) 血液的品名、运输温度。</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6.过程监控</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运输设备的性能和运行状态在运输血液前应符合以下的要求：</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（1）运输箱可显示实时温度，箱体内的显示温度（空气温度）符合前述《运输中各血液制品要求的温度》的要求。并可自动记录运输全过程的实时温度。</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（2）蓄冷剂控温的运输箱，蓄冷剂的配置和使用应符合厂商的使用说明或确认结果。</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（3）运输全过程的实时温度自动记录。</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7.对运输箱进行性能验证和定期生物学监测。</w:t>
      </w:r>
    </w:p>
    <w:p>
      <w:pPr>
        <w:spacing w:line="5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注：以上未陈列内容以《中华人民共和国卫生行业标准&lt;血液运输标准&gt;（WS 400-2023)》内容为准。</w:t>
      </w:r>
    </w:p>
    <w:p>
      <w:pPr>
        <w:spacing w:line="580" w:lineRule="exact"/>
        <w:outlineLvl w:val="0"/>
        <w:rPr>
          <w:rFonts w:hint="default"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w:t>
      </w:r>
      <w:r>
        <w:rPr>
          <w:rFonts w:hint="eastAsia" w:ascii="宋体" w:hAnsi="宋体" w:eastAsia="宋体" w:cs="宋体"/>
          <w:b/>
          <w:bCs/>
          <w:color w:val="000000" w:themeColor="text1"/>
          <w:sz w:val="28"/>
          <w:szCs w:val="28"/>
          <w:lang w:val="en-US" w:eastAsia="zh-CN"/>
          <w14:textFill>
            <w14:solidFill>
              <w14:schemeClr w14:val="tx1"/>
            </w14:solidFill>
          </w14:textFill>
        </w:rPr>
        <w:t>服务要求</w:t>
      </w:r>
    </w:p>
    <w:p>
      <w:pPr>
        <w:spacing w:line="580" w:lineRule="exact"/>
        <w:ind w:firstLine="560" w:firstLineChars="20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w:t>
      </w:r>
      <w:r>
        <w:rPr>
          <w:rFonts w:hint="eastAsia" w:ascii="宋体" w:hAnsi="宋体" w:eastAsia="宋体" w:cs="宋体"/>
          <w:color w:val="000000" w:themeColor="text1"/>
          <w:sz w:val="28"/>
          <w:szCs w:val="28"/>
          <w:lang w:val="en-US" w:eastAsia="zh-CN"/>
          <w14:textFill>
            <w14:solidFill>
              <w14:schemeClr w14:val="tx1"/>
            </w14:solidFill>
          </w14:textFill>
        </w:rPr>
        <w:t>路线</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由以下单位与两江新区人民医院的往返运输：</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1.两江新区人民医院医养中心；</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2.两江新区人民医院B院区；</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3.重庆市血液中心。</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（二）服务时间与次数</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1.服务时间：日间服务时段为9:00-17:00，接到采购人配送指令，立即响应（不超过10分钟），特殊情况夜间也需进行配送，须及时响应（不超过15分钟）；紧急血液运输响应时间为5分钟内完成第一次沟通。</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2.服务次数：重庆市血液中心配送至两江新区人民医院，每月至少35次，1天至少1次；两江新区人民医院礼嘉院区至两江新区人民医院1天至少2次，两江新区人民医院B院区至两江新区人民医院1天至少5次。</w:t>
      </w:r>
      <w:r>
        <w:rPr>
          <w:rFonts w:hint="eastAsia" w:ascii="宋体" w:hAnsi="宋体" w:eastAsia="宋体" w:cs="宋体"/>
          <w:color w:val="000000" w:themeColor="text1"/>
          <w:sz w:val="28"/>
          <w:szCs w:val="28"/>
          <w:lang w:val="en-US" w:eastAsia="zh-CN"/>
          <w14:textFill>
            <w14:solidFill>
              <w14:schemeClr w14:val="tx1"/>
            </w14:solidFill>
          </w14:textFill>
        </w:rPr>
        <w:t>运行过程中，若采购人发现问题，供应商应在</w:t>
      </w:r>
      <w:r>
        <w:rPr>
          <w:rFonts w:hint="eastAsia" w:ascii="宋体" w:hAnsi="宋体" w:eastAsia="宋体" w:cs="宋体"/>
          <w:color w:val="000000" w:themeColor="text1"/>
          <w:sz w:val="28"/>
          <w:szCs w:val="28"/>
          <w14:textFill>
            <w14:solidFill>
              <w14:schemeClr w14:val="tx1"/>
            </w14:solidFill>
          </w14:textFill>
        </w:rPr>
        <w:t xml:space="preserve">30分钟响应 2小时之内派人到场处理故障，确保正常运行！        </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重庆市血液中心配送至两江新区人民医院：超出上一条款约定的服务次数按≤232元/点位/次另行计费；两江新区人民医院医养中心至两江新区人民医院、两江新区人民医院B院区至两江新区人民医院：超出上一条款约定的服务次数按≤40元/次另行计费。</w:t>
      </w:r>
    </w:p>
    <w:p>
      <w:pPr>
        <w:spacing w:line="580" w:lineRule="exact"/>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三</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合同期</w:t>
      </w:r>
    </w:p>
    <w:p>
      <w:pPr>
        <w:spacing w:line="580" w:lineRule="exact"/>
        <w:ind w:firstLine="562"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本项目服务年限 3 年，</w:t>
      </w:r>
      <w:r>
        <w:rPr>
          <w:rFonts w:hint="eastAsia" w:ascii="宋体" w:hAnsi="宋体" w:eastAsia="宋体" w:cs="宋体"/>
          <w:color w:val="000000" w:themeColor="text1"/>
          <w:sz w:val="28"/>
          <w:szCs w:val="28"/>
          <w14:textFill>
            <w14:solidFill>
              <w14:schemeClr w14:val="tx1"/>
            </w14:solidFill>
          </w14:textFill>
        </w:rPr>
        <w:t>合同1年1考核。</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四</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主要验收要求</w:t>
      </w:r>
      <w:r>
        <w:rPr>
          <w:rFonts w:hint="eastAsia" w:ascii="宋体" w:hAnsi="宋体" w:eastAsia="宋体" w:cs="宋体"/>
          <w:color w:val="000000" w:themeColor="text1"/>
          <w:sz w:val="28"/>
          <w:szCs w:val="28"/>
          <w14:textFill>
            <w14:solidFill>
              <w14:schemeClr w14:val="tx1"/>
            </w14:solidFill>
          </w14:textFill>
        </w:rPr>
        <w:t xml:space="preserve">                         </w:t>
      </w:r>
    </w:p>
    <w:p>
      <w:pPr>
        <w:spacing w:line="580" w:lineRule="exact"/>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1.运营资质：服务商必须持有民航局颁发的《民用无人驾驶航空器运营合格证》。</w:t>
      </w:r>
    </w:p>
    <w:p>
      <w:pPr>
        <w:spacing w:line="580" w:lineRule="exact"/>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2.空域合规：航线需获得空中交通管理机构批准，验收时应提供航线批文。</w:t>
      </w:r>
    </w:p>
    <w:p>
      <w:pPr>
        <w:spacing w:line="580" w:lineRule="exact"/>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3.人员资质：无人机操控员需持民航局颁发的《民用无人驾驶航空器操控员执照》（签注：中型超视距多旋翼）上岗。</w:t>
      </w:r>
    </w:p>
    <w:p>
      <w:pPr>
        <w:spacing w:line="580" w:lineRule="exact"/>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4.保险完备：中标后须投保足额的第三方地面责任险，小型无人机≥100万元，中型无人机≥300万元 。</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5.</w:t>
      </w:r>
      <w:r>
        <w:rPr>
          <w:rFonts w:hint="eastAsia" w:ascii="宋体" w:hAnsi="宋体" w:eastAsia="宋体" w:cs="宋体"/>
          <w:color w:val="000000" w:themeColor="text1"/>
          <w:sz w:val="28"/>
          <w:szCs w:val="28"/>
          <w14:textFill>
            <w14:solidFill>
              <w14:schemeClr w14:val="tx1"/>
            </w14:solidFill>
          </w14:textFill>
        </w:rPr>
        <w:t>应自</w:t>
      </w:r>
      <w:r>
        <w:rPr>
          <w:rFonts w:hint="eastAsia" w:ascii="宋体" w:hAnsi="宋体" w:eastAsia="宋体" w:cs="宋体"/>
          <w:color w:val="000000" w:themeColor="text1"/>
          <w:sz w:val="28"/>
          <w:szCs w:val="28"/>
          <w:lang w:val="en-US" w:eastAsia="zh-CN"/>
          <w14:textFill>
            <w14:solidFill>
              <w14:schemeClr w14:val="tx1"/>
            </w14:solidFill>
          </w14:textFill>
        </w:rPr>
        <w:t>合同</w:t>
      </w:r>
      <w:r>
        <w:rPr>
          <w:rFonts w:hint="eastAsia" w:ascii="宋体" w:hAnsi="宋体" w:eastAsia="宋体" w:cs="宋体"/>
          <w:color w:val="000000" w:themeColor="text1"/>
          <w:sz w:val="28"/>
          <w:szCs w:val="28"/>
          <w14:textFill>
            <w14:solidFill>
              <w14:schemeClr w14:val="tx1"/>
            </w14:solidFill>
          </w14:textFill>
        </w:rPr>
        <w:t>签订起两个月内完成无人机一院三区及血液运输平台的建设，负责提供无人机使用等培训；</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五</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在协议有效期内，</w:t>
      </w:r>
      <w:r>
        <w:rPr>
          <w:rFonts w:hint="eastAsia" w:ascii="宋体" w:hAnsi="宋体" w:eastAsia="宋体" w:cs="宋体"/>
          <w:color w:val="000000" w:themeColor="text1"/>
          <w:sz w:val="28"/>
          <w:szCs w:val="28"/>
          <w:lang w:val="en-US" w:eastAsia="zh-CN"/>
          <w14:textFill>
            <w14:solidFill>
              <w14:schemeClr w14:val="tx1"/>
            </w14:solidFill>
          </w14:textFill>
        </w:rPr>
        <w:t>成交供应商</w:t>
      </w:r>
      <w:r>
        <w:rPr>
          <w:rFonts w:hint="eastAsia" w:ascii="宋体" w:hAnsi="宋体" w:eastAsia="宋体" w:cs="宋体"/>
          <w:color w:val="000000" w:themeColor="text1"/>
          <w:sz w:val="28"/>
          <w:szCs w:val="28"/>
          <w14:textFill>
            <w14:solidFill>
              <w14:schemeClr w14:val="tx1"/>
            </w14:solidFill>
          </w14:textFill>
        </w:rPr>
        <w:t xml:space="preserve">应对其工作人员的安全负责，若发生人身、财产和安全责任事故，自行承担一切费用和善后问题的处理及其全部责任。                        </w:t>
      </w:r>
    </w:p>
    <w:p>
      <w:pPr>
        <w:spacing w:line="580" w:lineRule="exact"/>
        <w:outlineLvl w:val="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四、需求调查对象</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具备相应服务能力的供应商。</w:t>
      </w:r>
    </w:p>
    <w:p>
      <w:pPr>
        <w:spacing w:line="580" w:lineRule="exact"/>
        <w:outlineLvl w:val="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五、资料报送要求</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1.资料报送时间：</w:t>
      </w:r>
      <w:r>
        <w:rPr>
          <w:rFonts w:hint="eastAsia" w:ascii="宋体" w:hAnsi="宋体" w:eastAsia="宋体" w:cs="宋体"/>
          <w:color w:val="000000" w:themeColor="text1"/>
          <w:sz w:val="28"/>
          <w:szCs w:val="28"/>
          <w:highlight w:val="yellow"/>
          <w14:textFill>
            <w14:solidFill>
              <w14:schemeClr w14:val="tx1"/>
            </w14:solidFill>
          </w14:textFill>
        </w:rPr>
        <w:t>2026年6月</w:t>
      </w:r>
      <w:r>
        <w:rPr>
          <w:rFonts w:hint="eastAsia" w:ascii="宋体" w:hAnsi="宋体" w:eastAsia="宋体" w:cs="宋体"/>
          <w:color w:val="000000" w:themeColor="text1"/>
          <w:sz w:val="28"/>
          <w:szCs w:val="28"/>
          <w:highlight w:val="yellow"/>
          <w:lang w:val="en-US" w:eastAsia="zh-CN"/>
          <w14:textFill>
            <w14:solidFill>
              <w14:schemeClr w14:val="tx1"/>
            </w14:solidFill>
          </w14:textFill>
        </w:rPr>
        <w:t>11</w:t>
      </w:r>
      <w:r>
        <w:rPr>
          <w:rFonts w:hint="eastAsia" w:ascii="宋体" w:hAnsi="宋体" w:eastAsia="宋体" w:cs="宋体"/>
          <w:color w:val="000000" w:themeColor="text1"/>
          <w:sz w:val="28"/>
          <w:szCs w:val="28"/>
          <w:highlight w:val="yellow"/>
          <w14:textFill>
            <w14:solidFill>
              <w14:schemeClr w14:val="tx1"/>
            </w14:solidFill>
          </w14:textFill>
        </w:rPr>
        <w:t>日-6月17日17：00</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2.资料报送清单</w:t>
      </w:r>
    </w:p>
    <w:p>
      <w:pPr>
        <w:spacing w:line="580" w:lineRule="exact"/>
        <w:ind w:firstLine="560" w:firstLineChars="200"/>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供应商营业执照复印件、《民用无人驾驶航空器运营合格证》</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需求调查表</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b/>
          <w:bCs/>
          <w:color w:val="000000" w:themeColor="text1"/>
          <w:sz w:val="28"/>
          <w:szCs w:val="28"/>
          <w:lang w:eastAsia="zh-CN"/>
          <w14:textFill>
            <w14:solidFill>
              <w14:schemeClr w14:val="tx1"/>
            </w14:solidFill>
          </w14:textFill>
        </w:rPr>
        <w:t>【</w:t>
      </w:r>
      <w:r>
        <w:rPr>
          <w:rFonts w:hint="eastAsia" w:ascii="宋体" w:hAnsi="宋体" w:eastAsia="宋体" w:cs="宋体"/>
          <w:b/>
          <w:bCs/>
          <w:color w:val="000000" w:themeColor="text1"/>
          <w:sz w:val="28"/>
          <w:szCs w:val="28"/>
          <w14:textFill>
            <w14:solidFill>
              <w14:schemeClr w14:val="tx1"/>
            </w14:solidFill>
          </w14:textFill>
        </w:rPr>
        <w:t>所有资料加盖供应商公章后扫描成一个PDF文件版</w:t>
      </w:r>
      <w:r>
        <w:rPr>
          <w:rFonts w:hint="eastAsia" w:ascii="宋体" w:hAnsi="宋体" w:eastAsia="宋体" w:cs="宋体"/>
          <w:b/>
          <w:bCs/>
          <w:color w:val="000000" w:themeColor="text1"/>
          <w:sz w:val="28"/>
          <w:szCs w:val="28"/>
          <w:lang w:eastAsia="zh-CN"/>
          <w14:textFill>
            <w14:solidFill>
              <w14:schemeClr w14:val="tx1"/>
            </w14:solidFill>
          </w14:textFill>
        </w:rPr>
        <w:t>】</w:t>
      </w:r>
    </w:p>
    <w:p>
      <w:pPr>
        <w:spacing w:line="58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3.资料报送途径：</w:t>
      </w:r>
    </w:p>
    <w:p>
      <w:pPr>
        <w:spacing w:line="580" w:lineRule="exact"/>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请各供应商在规定时间内将《资料报送清单》所需资料</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电子文档发至邮箱（704499879@qq.com），邮件名称为“</w:t>
      </w:r>
      <w:r>
        <w:rPr>
          <w:rFonts w:hint="eastAsia" w:ascii="宋体" w:hAnsi="宋体" w:eastAsia="宋体" w:cs="宋体"/>
          <w:b/>
          <w:bCs/>
          <w:color w:val="000000" w:themeColor="text1"/>
          <w:sz w:val="28"/>
          <w:szCs w:val="28"/>
          <w14:textFill>
            <w14:solidFill>
              <w14:schemeClr w14:val="tx1"/>
            </w14:solidFill>
          </w14:textFill>
        </w:rPr>
        <w:t>一院三区医疗物资及血液制品低空运输服务+供应商名称+联系人姓名及联系方式”</w:t>
      </w:r>
      <w:r>
        <w:rPr>
          <w:rFonts w:hint="eastAsia" w:ascii="宋体" w:hAnsi="宋体" w:eastAsia="宋体" w:cs="宋体"/>
          <w:color w:val="000000" w:themeColor="text1"/>
          <w:sz w:val="28"/>
          <w:szCs w:val="28"/>
          <w:lang w:val="en-US" w:eastAsia="zh-CN"/>
          <w14:textFill>
            <w14:solidFill>
              <w14:schemeClr w14:val="tx1"/>
            </w14:solidFill>
          </w14:textFill>
        </w:rPr>
        <w:t>或将</w:t>
      </w:r>
      <w:r>
        <w:rPr>
          <w:rFonts w:hint="eastAsia" w:ascii="宋体" w:hAnsi="宋体" w:eastAsia="宋体" w:cs="宋体"/>
          <w:color w:val="000000" w:themeColor="text1"/>
          <w:sz w:val="28"/>
          <w:szCs w:val="28"/>
          <w14:textFill>
            <w14:solidFill>
              <w14:schemeClr w14:val="tx1"/>
            </w14:solidFill>
          </w14:textFill>
        </w:rPr>
        <w:t>纸质版盖章递交至重庆两江新区人民医院新院区（金开大道2号）6号楼科教楼607</w:t>
      </w:r>
      <w:r>
        <w:rPr>
          <w:rFonts w:hint="eastAsia" w:ascii="宋体" w:hAnsi="宋体" w:eastAsia="宋体" w:cs="宋体"/>
          <w:color w:val="000000" w:themeColor="text1"/>
          <w:sz w:val="28"/>
          <w:szCs w:val="28"/>
          <w:highlight w:val="none"/>
          <w14:textFill>
            <w14:solidFill>
              <w14:schemeClr w14:val="tx1"/>
            </w14:solidFill>
          </w14:textFill>
        </w:rPr>
        <w:t>。</w:t>
      </w:r>
    </w:p>
    <w:p>
      <w:pPr>
        <w:spacing w:line="580" w:lineRule="exact"/>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4.联系人：刘老师         联系电话：023-86791518（工作日8：00-12:00  14:30-17:00）</w:t>
      </w:r>
    </w:p>
    <w:p>
      <w:pPr>
        <w:spacing w:line="58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六、其他说明</w:t>
      </w:r>
    </w:p>
    <w:p>
      <w:pPr>
        <w:spacing w:line="580" w:lineRule="exact"/>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本次公开的采购需求仅是采购工作的初步安排，是保证采购公平有效、充分调研以及友好竞争的前期工作，具体采购项目情况以相关采购公告和采购文件为准。本次资料收集仅用于采购前参考，是市场调查的方式，并非为采购项目提供整体设计、规范编制或者项目管理服务，因此递交问卷调查表应当写明供应商名称、联系人及联系电话并加盖单位公章。</w:t>
      </w:r>
      <w:r>
        <w:rPr>
          <w:rFonts w:hint="eastAsia" w:ascii="宋体" w:hAnsi="宋体" w:eastAsia="宋体" w:cs="宋体"/>
          <w:b/>
          <w:bCs/>
          <w:color w:val="000000" w:themeColor="text1"/>
          <w:sz w:val="28"/>
          <w:szCs w:val="28"/>
          <w:highlight w:val="none"/>
          <w14:textFill>
            <w14:solidFill>
              <w14:schemeClr w14:val="tx1"/>
            </w14:solidFill>
          </w14:textFill>
        </w:rPr>
        <w:t>资料收集完成后，采购人是否采纳均不影响供应商参与本项目后续采购活动，对供应商所提出的意见建议不作书面回复。</w:t>
      </w:r>
    </w:p>
    <w:p>
      <w:pPr>
        <w:spacing w:line="580" w:lineRule="exact"/>
        <w:ind w:firstLine="560" w:firstLineChars="200"/>
        <w:jc w:val="righ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重庆两江新区人民医院</w:t>
      </w:r>
    </w:p>
    <w:p>
      <w:pPr>
        <w:spacing w:line="580" w:lineRule="exact"/>
        <w:ind w:firstLine="560" w:firstLineChars="200"/>
        <w:jc w:val="righ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2026年6月</w:t>
      </w:r>
      <w:r>
        <w:rPr>
          <w:rFonts w:hint="eastAsia" w:ascii="宋体" w:hAnsi="宋体" w:eastAsia="宋体" w:cs="宋体"/>
          <w:color w:val="000000" w:themeColor="text1"/>
          <w:sz w:val="28"/>
          <w:szCs w:val="28"/>
          <w:highlight w:val="none"/>
          <w:lang w:val="en-US" w:eastAsia="zh-CN"/>
          <w14:textFill>
            <w14:solidFill>
              <w14:schemeClr w14:val="tx1"/>
            </w14:solidFill>
          </w14:textFill>
        </w:rPr>
        <w:t>11</w:t>
      </w:r>
      <w:bookmarkStart w:id="2" w:name="_GoBack"/>
      <w:bookmarkEnd w:id="2"/>
      <w:r>
        <w:rPr>
          <w:rFonts w:hint="eastAsia" w:ascii="宋体" w:hAnsi="宋体" w:eastAsia="宋体" w:cs="宋体"/>
          <w:color w:val="000000" w:themeColor="text1"/>
          <w:sz w:val="28"/>
          <w:szCs w:val="28"/>
          <w:highlight w:val="none"/>
          <w14:textFill>
            <w14:solidFill>
              <w14:schemeClr w14:val="tx1"/>
            </w14:solidFill>
          </w14:textFill>
        </w:rPr>
        <w:t>日</w:t>
      </w:r>
    </w:p>
    <w:p>
      <w:pPr>
        <w:rPr>
          <w:rFonts w:hint="eastAsia" w:ascii="宋体" w:hAnsi="宋体" w:eastAsia="宋体" w:cs="宋体"/>
          <w:color w:val="0000FF"/>
          <w:sz w:val="28"/>
          <w:szCs w:val="28"/>
        </w:rPr>
      </w:pPr>
      <w:r>
        <w:rPr>
          <w:rFonts w:hint="eastAsia" w:ascii="宋体" w:hAnsi="宋体" w:eastAsia="宋体" w:cs="宋体"/>
          <w:color w:val="0000FF"/>
          <w:sz w:val="28"/>
          <w:szCs w:val="28"/>
        </w:rPr>
        <w:br w:type="page"/>
      </w:r>
    </w:p>
    <w:p>
      <w:pPr>
        <w:spacing w:line="580" w:lineRule="exact"/>
        <w:ind w:firstLine="560" w:firstLineChars="200"/>
        <w:jc w:val="left"/>
        <w:outlineLvl w:val="0"/>
        <w:rPr>
          <w:rFonts w:hint="eastAsia" w:ascii="宋体" w:hAnsi="宋体" w:eastAsia="宋体" w:cs="宋体"/>
          <w:sz w:val="28"/>
          <w:szCs w:val="28"/>
        </w:rPr>
      </w:pPr>
      <w:r>
        <w:rPr>
          <w:rFonts w:hint="eastAsia" w:ascii="宋体" w:hAnsi="宋体" w:eastAsia="宋体" w:cs="宋体"/>
          <w:sz w:val="28"/>
          <w:szCs w:val="28"/>
        </w:rPr>
        <w:t>附件1：</w:t>
      </w:r>
      <w:r>
        <w:rPr>
          <w:rFonts w:hint="eastAsia" w:ascii="宋体" w:hAnsi="宋体" w:eastAsia="宋体" w:cs="宋体"/>
          <w:kern w:val="0"/>
          <w:szCs w:val="32"/>
          <w:lang w:bidi="ar"/>
        </w:rPr>
        <w:t>需求调查表</w:t>
      </w:r>
    </w:p>
    <w:tbl>
      <w:tblPr>
        <w:tblStyle w:val="9"/>
        <w:tblW w:w="8240" w:type="dxa"/>
        <w:tblInd w:w="96" w:type="dxa"/>
        <w:tblLayout w:type="fixed"/>
        <w:tblCellMar>
          <w:top w:w="0" w:type="dxa"/>
          <w:left w:w="108" w:type="dxa"/>
          <w:bottom w:w="0" w:type="dxa"/>
          <w:right w:w="108" w:type="dxa"/>
        </w:tblCellMar>
      </w:tblPr>
      <w:tblGrid>
        <w:gridCol w:w="2129"/>
        <w:gridCol w:w="2137"/>
        <w:gridCol w:w="1644"/>
        <w:gridCol w:w="2330"/>
      </w:tblGrid>
      <w:tr>
        <w:tblPrEx>
          <w:tblCellMar>
            <w:top w:w="0" w:type="dxa"/>
            <w:left w:w="108" w:type="dxa"/>
            <w:bottom w:w="0" w:type="dxa"/>
            <w:right w:w="108" w:type="dxa"/>
          </w:tblCellMar>
        </w:tblPrEx>
        <w:trPr>
          <w:trHeight w:val="616" w:hRule="atLeast"/>
        </w:trPr>
        <w:tc>
          <w:tcPr>
            <w:tcW w:w="2129"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kern w:val="0"/>
                <w:sz w:val="24"/>
                <w:lang w:bidi="ar"/>
              </w:rPr>
              <w:t>供应商名称</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rPr>
                <w:rFonts w:hint="eastAsia" w:ascii="宋体" w:hAnsi="宋体" w:eastAsia="宋体" w:cs="宋体"/>
                <w:sz w:val="24"/>
              </w:rPr>
            </w:pPr>
          </w:p>
        </w:tc>
      </w:tr>
      <w:tr>
        <w:tblPrEx>
          <w:tblCellMar>
            <w:top w:w="0" w:type="dxa"/>
            <w:left w:w="108" w:type="dxa"/>
            <w:bottom w:w="0" w:type="dxa"/>
            <w:right w:w="108" w:type="dxa"/>
          </w:tblCellMar>
        </w:tblPrEx>
        <w:trPr>
          <w:trHeight w:val="607" w:hRule="atLeast"/>
        </w:trPr>
        <w:tc>
          <w:tcPr>
            <w:tcW w:w="2129"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kern w:val="0"/>
                <w:sz w:val="24"/>
                <w:lang w:bidi="ar"/>
              </w:rPr>
              <w:t>联系人</w:t>
            </w:r>
          </w:p>
        </w:tc>
        <w:tc>
          <w:tcPr>
            <w:tcW w:w="2137"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rPr>
                <w:rFonts w:hint="eastAsia" w:ascii="宋体" w:hAnsi="宋体" w:eastAsia="宋体" w:cs="宋体"/>
                <w:sz w:val="24"/>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hint="eastAsia" w:ascii="宋体" w:hAnsi="宋体" w:eastAsia="宋体" w:cs="宋体"/>
                <w:sz w:val="24"/>
              </w:rPr>
            </w:pPr>
            <w:r>
              <w:rPr>
                <w:rFonts w:hint="eastAsia" w:ascii="宋体" w:hAnsi="宋体" w:eastAsia="宋体" w:cs="宋体"/>
                <w:kern w:val="0"/>
                <w:sz w:val="24"/>
                <w:lang w:bidi="ar"/>
              </w:rPr>
              <w:t>联系电话</w:t>
            </w:r>
          </w:p>
        </w:tc>
        <w:tc>
          <w:tcPr>
            <w:tcW w:w="2330"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rPr>
                <w:rFonts w:hint="eastAsia" w:ascii="宋体" w:hAnsi="宋体" w:eastAsia="宋体" w:cs="宋体"/>
                <w:sz w:val="24"/>
              </w:rPr>
            </w:pPr>
          </w:p>
        </w:tc>
      </w:tr>
      <w:tr>
        <w:tblPrEx>
          <w:tblCellMar>
            <w:top w:w="0" w:type="dxa"/>
            <w:left w:w="108" w:type="dxa"/>
            <w:bottom w:w="0" w:type="dxa"/>
            <w:right w:w="108" w:type="dxa"/>
          </w:tblCellMar>
        </w:tblPrEx>
        <w:trPr>
          <w:trHeight w:val="607" w:hRule="atLeast"/>
        </w:trPr>
        <w:tc>
          <w:tcPr>
            <w:tcW w:w="2129"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kern w:val="0"/>
                <w:sz w:val="24"/>
                <w:lang w:bidi="ar"/>
              </w:rPr>
              <w:t>地址</w:t>
            </w:r>
          </w:p>
        </w:tc>
        <w:tc>
          <w:tcPr>
            <w:tcW w:w="2137"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rPr>
                <w:rFonts w:hint="eastAsia" w:ascii="宋体" w:hAnsi="宋体" w:eastAsia="宋体" w:cs="宋体"/>
                <w:sz w:val="22"/>
                <w:szCs w:val="22"/>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hint="eastAsia" w:ascii="宋体" w:hAnsi="宋体" w:eastAsia="宋体" w:cs="宋体"/>
                <w:sz w:val="24"/>
              </w:rPr>
            </w:pPr>
            <w:r>
              <w:rPr>
                <w:rFonts w:hint="eastAsia" w:ascii="宋体" w:hAnsi="宋体" w:eastAsia="宋体" w:cs="宋体"/>
                <w:kern w:val="0"/>
                <w:sz w:val="24"/>
                <w:lang w:bidi="ar"/>
              </w:rPr>
              <w:t>邮箱</w:t>
            </w:r>
          </w:p>
        </w:tc>
        <w:tc>
          <w:tcPr>
            <w:tcW w:w="2330" w:type="dxa"/>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rPr>
                <w:rFonts w:hint="eastAsia" w:ascii="宋体" w:hAnsi="宋体" w:eastAsia="宋体" w:cs="宋体"/>
                <w:sz w:val="22"/>
                <w:szCs w:val="22"/>
              </w:rPr>
            </w:pPr>
          </w:p>
        </w:tc>
      </w:tr>
      <w:tr>
        <w:tblPrEx>
          <w:tblCellMar>
            <w:top w:w="0" w:type="dxa"/>
            <w:left w:w="108" w:type="dxa"/>
            <w:bottom w:w="0" w:type="dxa"/>
            <w:right w:w="108" w:type="dxa"/>
          </w:tblCellMar>
        </w:tblPrEx>
        <w:trPr>
          <w:trHeight w:val="631"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kern w:val="0"/>
                <w:sz w:val="24"/>
                <w:lang w:bidi="ar"/>
              </w:rPr>
              <w:t>供应商企业规模</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hint="eastAsia" w:ascii="宋体" w:hAnsi="宋体" w:eastAsia="宋体" w:cs="宋体"/>
                <w:sz w:val="24"/>
              </w:rPr>
            </w:pPr>
            <w:r>
              <w:rPr>
                <w:rFonts w:hint="eastAsia" w:ascii="宋体" w:hAnsi="宋体" w:eastAsia="宋体" w:cs="宋体"/>
                <w:kern w:val="0"/>
                <w:sz w:val="24"/>
                <w:lang w:bidi="ar"/>
              </w:rPr>
              <w:t>（大/中/小/微）型企业</w:t>
            </w:r>
          </w:p>
        </w:tc>
      </w:tr>
      <w:tr>
        <w:tblPrEx>
          <w:tblCellMar>
            <w:top w:w="0" w:type="dxa"/>
            <w:left w:w="108" w:type="dxa"/>
            <w:bottom w:w="0" w:type="dxa"/>
            <w:right w:w="108" w:type="dxa"/>
          </w:tblCellMar>
        </w:tblPrEx>
        <w:trPr>
          <w:trHeight w:val="1262"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kern w:val="0"/>
                <w:sz w:val="24"/>
                <w:lang w:bidi="ar"/>
              </w:rPr>
            </w:pPr>
            <w:r>
              <w:rPr>
                <w:rFonts w:hint="eastAsia" w:ascii="宋体" w:hAnsi="宋体" w:eastAsia="宋体" w:cs="宋体"/>
                <w:kern w:val="0"/>
                <w:sz w:val="24"/>
                <w:lang w:bidi="ar"/>
              </w:rPr>
              <w:t>公司基本情况（</w:t>
            </w:r>
            <w:r>
              <w:rPr>
                <w:rFonts w:hint="eastAsia" w:eastAsia="方正楷体_GBK" w:cs="方正楷体_GBK"/>
                <w:kern w:val="0"/>
                <w:sz w:val="24"/>
                <w:lang w:bidi="ar"/>
              </w:rPr>
              <w:t>不超过150字</w:t>
            </w:r>
            <w:r>
              <w:rPr>
                <w:rFonts w:hint="eastAsia" w:ascii="宋体" w:hAnsi="宋体" w:eastAsia="宋体" w:cs="宋体"/>
                <w:kern w:val="0"/>
                <w:sz w:val="24"/>
                <w:lang w:bidi="ar"/>
              </w:rPr>
              <w:t>）</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hint="eastAsia" w:ascii="宋体" w:hAnsi="宋体" w:eastAsia="宋体" w:cs="宋体"/>
                <w:kern w:val="0"/>
                <w:sz w:val="24"/>
                <w:lang w:bidi="ar"/>
              </w:rPr>
            </w:pPr>
          </w:p>
        </w:tc>
      </w:tr>
      <w:tr>
        <w:tblPrEx>
          <w:tblCellMar>
            <w:top w:w="0" w:type="dxa"/>
            <w:left w:w="108" w:type="dxa"/>
            <w:bottom w:w="0" w:type="dxa"/>
            <w:right w:w="108" w:type="dxa"/>
          </w:tblCellMar>
        </w:tblPrEx>
        <w:trPr>
          <w:trHeight w:val="1224"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sz w:val="24"/>
              </w:rPr>
              <w:t>市场供给情况</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hint="eastAsia" w:ascii="宋体" w:hAnsi="宋体" w:eastAsia="宋体" w:cs="宋体"/>
                <w:sz w:val="24"/>
              </w:rPr>
            </w:pPr>
          </w:p>
        </w:tc>
      </w:tr>
      <w:tr>
        <w:tblPrEx>
          <w:tblCellMar>
            <w:top w:w="0" w:type="dxa"/>
            <w:left w:w="108" w:type="dxa"/>
            <w:bottom w:w="0" w:type="dxa"/>
            <w:right w:w="108" w:type="dxa"/>
          </w:tblCellMar>
        </w:tblPrEx>
        <w:trPr>
          <w:trHeight w:val="1629"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sz w:val="24"/>
              </w:rPr>
              <w:t>公司具有的相关资质情况（企业荣誉证明文件后附）</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hint="eastAsia" w:ascii="宋体" w:hAnsi="宋体" w:eastAsia="宋体" w:cs="宋体"/>
                <w:sz w:val="24"/>
              </w:rPr>
            </w:pPr>
          </w:p>
        </w:tc>
      </w:tr>
      <w:tr>
        <w:tblPrEx>
          <w:tblCellMar>
            <w:top w:w="0" w:type="dxa"/>
            <w:left w:w="108" w:type="dxa"/>
            <w:bottom w:w="0" w:type="dxa"/>
            <w:right w:w="108" w:type="dxa"/>
          </w:tblCellMar>
        </w:tblPrEx>
        <w:trPr>
          <w:trHeight w:val="1629"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kern w:val="0"/>
                <w:sz w:val="24"/>
                <w:lang w:bidi="ar"/>
              </w:rPr>
              <w:t>公司近5年来同类案例及合同金额（后附中标结果公告）</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sz w:val="24"/>
              </w:rPr>
              <w:t>项目1名称：       ；合同金额：     万元；</w:t>
            </w:r>
          </w:p>
          <w:p>
            <w:pPr>
              <w:widowControl/>
              <w:adjustRightInd w:val="0"/>
              <w:snapToGrid w:val="0"/>
              <w:jc w:val="left"/>
              <w:textAlignment w:val="center"/>
              <w:rPr>
                <w:rFonts w:hint="eastAsia" w:ascii="宋体" w:hAnsi="宋体" w:eastAsia="宋体" w:cs="宋体"/>
                <w:sz w:val="21"/>
                <w:szCs w:val="21"/>
              </w:rPr>
            </w:pPr>
            <w:r>
              <w:rPr>
                <w:rFonts w:hint="eastAsia" w:ascii="宋体" w:hAnsi="宋体" w:eastAsia="宋体" w:cs="宋体"/>
                <w:sz w:val="21"/>
                <w:szCs w:val="21"/>
              </w:rPr>
              <w:t>中标结果公告链接:</w:t>
            </w:r>
          </w:p>
          <w:p>
            <w:pPr>
              <w:widowControl/>
              <w:adjustRightInd w:val="0"/>
              <w:snapToGrid w:val="0"/>
              <w:jc w:val="left"/>
              <w:textAlignment w:val="center"/>
              <w:rPr>
                <w:rFonts w:hint="eastAsia" w:ascii="宋体" w:hAnsi="宋体" w:eastAsia="宋体" w:cs="宋体"/>
                <w:sz w:val="24"/>
              </w:rPr>
            </w:pPr>
            <w:r>
              <w:rPr>
                <w:rFonts w:hint="eastAsia" w:ascii="宋体" w:hAnsi="宋体" w:eastAsia="宋体" w:cs="宋体"/>
                <w:sz w:val="24"/>
              </w:rPr>
              <w:t>……</w:t>
            </w:r>
          </w:p>
        </w:tc>
      </w:tr>
      <w:tr>
        <w:tblPrEx>
          <w:tblCellMar>
            <w:top w:w="0" w:type="dxa"/>
            <w:left w:w="108" w:type="dxa"/>
            <w:bottom w:w="0" w:type="dxa"/>
            <w:right w:w="108" w:type="dxa"/>
          </w:tblCellMar>
        </w:tblPrEx>
        <w:trPr>
          <w:trHeight w:val="1234"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kern w:val="0"/>
                <w:sz w:val="24"/>
                <w:lang w:bidi="ar"/>
              </w:rPr>
            </w:pPr>
            <w:r>
              <w:rPr>
                <w:rFonts w:hint="eastAsia" w:ascii="宋体" w:hAnsi="宋体" w:eastAsia="宋体" w:cs="宋体"/>
                <w:kern w:val="0"/>
                <w:sz w:val="24"/>
                <w:lang w:bidi="ar"/>
              </w:rPr>
              <w:t>供应商拟为本次项目配备人员规模</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textAlignment w:val="center"/>
              <w:rPr>
                <w:rFonts w:hint="eastAsia" w:ascii="宋体" w:hAnsi="宋体" w:eastAsia="宋体" w:cs="宋体"/>
                <w:sz w:val="24"/>
              </w:rPr>
            </w:pPr>
          </w:p>
        </w:tc>
      </w:tr>
      <w:tr>
        <w:tblPrEx>
          <w:tblCellMar>
            <w:top w:w="0" w:type="dxa"/>
            <w:left w:w="108" w:type="dxa"/>
            <w:bottom w:w="0" w:type="dxa"/>
            <w:right w:w="108" w:type="dxa"/>
          </w:tblCellMar>
        </w:tblPrEx>
        <w:trPr>
          <w:trHeight w:val="846"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b/>
                <w:bCs/>
                <w:kern w:val="0"/>
                <w:sz w:val="24"/>
                <w:lang w:bidi="ar"/>
              </w:rPr>
            </w:pPr>
            <w:r>
              <w:rPr>
                <w:rFonts w:hint="eastAsia" w:ascii="宋体" w:hAnsi="宋体" w:eastAsia="宋体" w:cs="宋体"/>
                <w:b/>
                <w:bCs/>
                <w:kern w:val="0"/>
                <w:sz w:val="24"/>
                <w:lang w:bidi="ar"/>
              </w:rPr>
              <w:t>本包报价</w:t>
            </w:r>
          </w:p>
          <w:p>
            <w:pPr>
              <w:widowControl/>
              <w:adjustRightInd w:val="0"/>
              <w:snapToGrid w:val="0"/>
              <w:jc w:val="left"/>
              <w:textAlignment w:val="center"/>
              <w:rPr>
                <w:rFonts w:hint="default" w:ascii="宋体" w:hAnsi="宋体" w:eastAsia="宋体" w:cs="宋体"/>
                <w:b/>
                <w:bCs/>
                <w:sz w:val="24"/>
                <w:lang w:val="en-US" w:eastAsia="zh-CN"/>
              </w:rPr>
            </w:pPr>
            <w:r>
              <w:rPr>
                <w:rFonts w:hint="eastAsia" w:ascii="宋体" w:hAnsi="宋体" w:eastAsia="宋体" w:cs="宋体"/>
                <w:b/>
                <w:bCs/>
                <w:kern w:val="0"/>
                <w:sz w:val="24"/>
                <w:lang w:bidi="ar"/>
              </w:rPr>
              <w:t>（总价）</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ind w:left="2891" w:hanging="2891" w:hangingChars="1200"/>
              <w:jc w:val="both"/>
              <w:textAlignment w:val="center"/>
              <w:rPr>
                <w:rFonts w:hint="eastAsia" w:ascii="宋体" w:hAnsi="宋体" w:eastAsia="宋体" w:cs="宋体"/>
                <w:b/>
                <w:bCs/>
                <w:kern w:val="0"/>
                <w:sz w:val="24"/>
                <w:lang w:bidi="ar"/>
              </w:rPr>
            </w:pPr>
            <w:r>
              <w:rPr>
                <w:rFonts w:hint="eastAsia" w:ascii="宋体" w:hAnsi="宋体" w:eastAsia="宋体" w:cs="宋体"/>
                <w:b/>
                <w:bCs/>
                <w:kern w:val="0"/>
                <w:sz w:val="24"/>
                <w:lang w:val="en-US" w:eastAsia="zh-CN" w:bidi="ar"/>
              </w:rPr>
              <w:t xml:space="preserve">基于采购人发出的需求调查文件，我公司报价为     </w:t>
            </w:r>
            <w:r>
              <w:rPr>
                <w:rFonts w:hint="eastAsia" w:ascii="宋体" w:hAnsi="宋体" w:eastAsia="宋体" w:cs="宋体"/>
                <w:b/>
                <w:bCs/>
                <w:kern w:val="0"/>
                <w:sz w:val="24"/>
                <w:lang w:bidi="ar"/>
              </w:rPr>
              <w:t>（万元）</w:t>
            </w:r>
          </w:p>
          <w:p>
            <w:pPr>
              <w:widowControl/>
              <w:adjustRightInd w:val="0"/>
              <w:snapToGrid w:val="0"/>
              <w:ind w:firstLine="3855" w:firstLineChars="1600"/>
              <w:jc w:val="left"/>
              <w:textAlignment w:val="center"/>
              <w:rPr>
                <w:rFonts w:hint="eastAsia" w:ascii="宋体" w:hAnsi="宋体" w:eastAsia="宋体" w:cs="宋体"/>
                <w:b/>
                <w:bCs/>
                <w:kern w:val="0"/>
                <w:sz w:val="24"/>
                <w:lang w:bidi="ar"/>
              </w:rPr>
            </w:pPr>
          </w:p>
          <w:p>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b w:val="0"/>
                <w:bCs w:val="0"/>
                <w:kern w:val="0"/>
                <w:sz w:val="24"/>
                <w:lang w:val="en-US" w:eastAsia="zh-CN" w:bidi="ar"/>
              </w:rPr>
            </w:pPr>
            <w:r>
              <w:rPr>
                <w:rFonts w:hint="eastAsia" w:ascii="宋体" w:hAnsi="宋体" w:eastAsia="宋体" w:cs="宋体"/>
                <w:b w:val="0"/>
                <w:bCs w:val="0"/>
                <w:kern w:val="0"/>
                <w:sz w:val="24"/>
                <w:lang w:val="en-US" w:eastAsia="zh-CN" w:bidi="ar"/>
              </w:rPr>
              <w:t>注：本项目采取全费用人民币综合报价。全费用综合报价包括但不限于温控箱、飞行服务费用、航线开发与报批以及其他与项目有关的所有费用。因供应商漏报、少报导致的成本增加由其自行承担。</w:t>
            </w:r>
          </w:p>
          <w:p>
            <w:pPr>
              <w:widowControl/>
              <w:adjustRightInd w:val="0"/>
              <w:snapToGrid w:val="0"/>
              <w:ind w:firstLine="3855" w:firstLineChars="1600"/>
              <w:jc w:val="left"/>
              <w:textAlignment w:val="center"/>
              <w:rPr>
                <w:rFonts w:hint="eastAsia" w:ascii="宋体" w:hAnsi="宋体" w:eastAsia="宋体" w:cs="宋体"/>
                <w:b/>
                <w:bCs/>
                <w:kern w:val="0"/>
                <w:sz w:val="24"/>
                <w:lang w:val="en-US" w:eastAsia="zh-CN" w:bidi="ar"/>
              </w:rPr>
            </w:pPr>
          </w:p>
        </w:tc>
      </w:tr>
      <w:tr>
        <w:tblPrEx>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kern w:val="0"/>
                <w:sz w:val="24"/>
                <w:lang w:bidi="ar"/>
              </w:rPr>
            </w:pPr>
            <w:r>
              <w:rPr>
                <w:rFonts w:hint="eastAsia" w:ascii="宋体" w:hAnsi="宋体" w:eastAsia="宋体" w:cs="宋体"/>
                <w:kern w:val="0"/>
                <w:sz w:val="24"/>
                <w:lang w:bidi="ar"/>
              </w:rPr>
              <w:t>针对本项目的服务方案及服务承诺</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rPr>
                <w:rFonts w:hint="eastAsia" w:ascii="宋体" w:hAnsi="宋体" w:eastAsia="宋体" w:cs="宋体"/>
                <w:sz w:val="24"/>
              </w:rPr>
            </w:pPr>
          </w:p>
        </w:tc>
      </w:tr>
      <w:tr>
        <w:tblPrEx>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kern w:val="0"/>
                <w:sz w:val="24"/>
                <w:lang w:bidi="ar"/>
              </w:rPr>
            </w:pPr>
            <w:r>
              <w:rPr>
                <w:rFonts w:hint="eastAsia" w:ascii="宋体" w:hAnsi="宋体" w:eastAsia="宋体" w:cs="宋体"/>
                <w:kern w:val="0"/>
                <w:sz w:val="24"/>
                <w:lang w:bidi="ar"/>
              </w:rPr>
              <w:t>可能涉及的运行维护、备品备件、耗材等后续采购</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rPr>
                <w:rFonts w:hint="eastAsia" w:ascii="宋体" w:hAnsi="宋体" w:eastAsia="宋体" w:cs="宋体"/>
                <w:sz w:val="24"/>
              </w:rPr>
            </w:pPr>
          </w:p>
        </w:tc>
      </w:tr>
      <w:tr>
        <w:tblPrEx>
          <w:tblCellMar>
            <w:top w:w="0" w:type="dxa"/>
            <w:left w:w="108" w:type="dxa"/>
            <w:bottom w:w="0" w:type="dxa"/>
            <w:right w:w="108" w:type="dxa"/>
          </w:tblCellMar>
        </w:tblPrEx>
        <w:trPr>
          <w:trHeight w:val="1289"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default" w:ascii="宋体" w:hAnsi="宋体" w:eastAsia="宋体" w:cs="宋体"/>
                <w:kern w:val="0"/>
                <w:sz w:val="24"/>
                <w:lang w:val="en-US" w:eastAsia="zh-CN" w:bidi="ar"/>
              </w:rPr>
            </w:pPr>
            <w:r>
              <w:rPr>
                <w:rFonts w:hint="eastAsia" w:ascii="宋体" w:hAnsi="宋体" w:eastAsia="宋体" w:cs="宋体"/>
                <w:b/>
                <w:bCs/>
                <w:color w:val="000000" w:themeColor="text1"/>
                <w:kern w:val="0"/>
                <w:sz w:val="24"/>
                <w:lang w:val="en-US" w:eastAsia="zh-CN" w:bidi="ar"/>
                <w14:textFill>
                  <w14:solidFill>
                    <w14:schemeClr w14:val="tx1"/>
                  </w14:solidFill>
                </w14:textFill>
              </w:rPr>
              <w:t>平台建设过程中需要采购人配合的工作</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rPr>
                <w:rFonts w:hint="eastAsia" w:ascii="宋体" w:hAnsi="宋体" w:eastAsia="宋体" w:cs="宋体"/>
                <w:sz w:val="24"/>
              </w:rPr>
            </w:pPr>
          </w:p>
        </w:tc>
      </w:tr>
      <w:tr>
        <w:tblPrEx>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其他关于</w:t>
            </w:r>
            <w:r>
              <w:rPr>
                <w:rFonts w:hint="eastAsia" w:ascii="宋体" w:hAnsi="宋体" w:eastAsia="宋体" w:cs="宋体"/>
                <w:kern w:val="0"/>
                <w:sz w:val="24"/>
                <w:lang w:bidi="ar"/>
              </w:rPr>
              <w:t>本项目技术要求建议</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rPr>
                <w:rFonts w:hint="default" w:ascii="宋体" w:hAnsi="宋体" w:eastAsia="宋体" w:cs="宋体"/>
                <w:sz w:val="24"/>
                <w:lang w:val="en-US" w:eastAsia="zh-CN"/>
              </w:rPr>
            </w:pPr>
          </w:p>
        </w:tc>
      </w:tr>
      <w:tr>
        <w:tblPrEx>
          <w:tblCellMar>
            <w:top w:w="0" w:type="dxa"/>
            <w:left w:w="108" w:type="dxa"/>
            <w:bottom w:w="0" w:type="dxa"/>
            <w:right w:w="108" w:type="dxa"/>
          </w:tblCellMar>
        </w:tblPrEx>
        <w:trPr>
          <w:trHeight w:val="1446" w:hRule="atLeast"/>
        </w:trPr>
        <w:tc>
          <w:tcPr>
            <w:tcW w:w="21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hint="eastAsia" w:ascii="宋体" w:hAnsi="宋体" w:eastAsia="宋体" w:cs="宋体"/>
                <w:kern w:val="0"/>
                <w:sz w:val="24"/>
                <w:lang w:bidi="ar"/>
              </w:rPr>
            </w:pPr>
            <w:r>
              <w:rPr>
                <w:rFonts w:hint="eastAsia" w:ascii="宋体" w:hAnsi="宋体" w:eastAsia="宋体" w:cs="宋体"/>
                <w:kern w:val="0"/>
                <w:sz w:val="24"/>
                <w:lang w:val="en-US" w:eastAsia="zh-CN" w:bidi="ar"/>
              </w:rPr>
              <w:t>其他关于</w:t>
            </w:r>
            <w:r>
              <w:rPr>
                <w:rFonts w:hint="eastAsia" w:ascii="宋体" w:hAnsi="宋体" w:eastAsia="宋体" w:cs="宋体"/>
                <w:kern w:val="0"/>
                <w:sz w:val="24"/>
                <w:lang w:bidi="ar"/>
              </w:rPr>
              <w:t>本项目商务要求建议</w:t>
            </w:r>
          </w:p>
        </w:tc>
        <w:tc>
          <w:tcPr>
            <w:tcW w:w="6111" w:type="dxa"/>
            <w:gridSpan w:val="3"/>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left"/>
              <w:rPr>
                <w:rFonts w:hint="eastAsia" w:ascii="宋体" w:hAnsi="宋体" w:eastAsia="宋体" w:cs="宋体"/>
                <w:sz w:val="24"/>
              </w:rPr>
            </w:pPr>
          </w:p>
        </w:tc>
      </w:tr>
      <w:tr>
        <w:tblPrEx>
          <w:tblCellMar>
            <w:top w:w="0" w:type="dxa"/>
            <w:left w:w="108" w:type="dxa"/>
            <w:bottom w:w="0" w:type="dxa"/>
            <w:right w:w="108" w:type="dxa"/>
          </w:tblCellMar>
        </w:tblPrEx>
        <w:trPr>
          <w:trHeight w:val="3414" w:hRule="atLeast"/>
        </w:trPr>
        <w:tc>
          <w:tcPr>
            <w:tcW w:w="824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6300"/>
              </w:tabs>
              <w:snapToGrid w:val="0"/>
              <w:ind w:firstLine="1540" w:firstLineChars="700"/>
              <w:jc w:val="center"/>
              <w:rPr>
                <w:rFonts w:hint="eastAsia" w:asciiTheme="minorEastAsia" w:hAnsiTheme="minorEastAsia" w:eastAsiaTheme="minorEastAsia" w:cstheme="minorEastAsia"/>
                <w:kern w:val="0"/>
                <w:sz w:val="24"/>
              </w:rPr>
            </w:pP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附：</w:t>
            </w:r>
            <w:r>
              <w:rPr>
                <w:rFonts w:hint="eastAsia" w:asciiTheme="minorEastAsia" w:hAnsiTheme="minorEastAsia" w:eastAsiaTheme="minorEastAsia" w:cstheme="minorEastAsia"/>
                <w:kern w:val="0"/>
                <w:sz w:val="24"/>
              </w:rPr>
              <w:t>《中小企业划型标准规定》（工信部联企业〔2011〕300号）</w:t>
            </w:r>
          </w:p>
          <w:p>
            <w:pPr>
              <w:tabs>
                <w:tab w:val="left" w:pos="6300"/>
              </w:tabs>
              <w:snapToGrid w:val="0"/>
              <w:ind w:firstLine="2640" w:firstLineChars="1100"/>
              <w:rPr>
                <w:rFonts w:hint="eastAsia" w:asciiTheme="minorEastAsia" w:hAnsiTheme="minorEastAsia" w:eastAsiaTheme="minorEastAsia" w:cstheme="minorEastAsia"/>
                <w:kern w:val="0"/>
                <w:sz w:val="24"/>
              </w:rPr>
            </w:pP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（一）农、林、牧、渔业。营业收入20000万元以下的为中小微型企业。其中，营业收入500万元及以上的为中型企业，营业收入50万元及以上的为小型企业，营业收入50万元以下的为微型企业。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tabs>
                <w:tab w:val="left" w:pos="6300"/>
              </w:tabs>
              <w:snapToGrid w:val="0"/>
              <w:spacing w:line="40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tabs>
                <w:tab w:val="left" w:pos="6300"/>
              </w:tabs>
              <w:snapToGrid w:val="0"/>
              <w:spacing w:line="400" w:lineRule="exact"/>
              <w:ind w:firstLine="420" w:firstLineChars="200"/>
              <w:jc w:val="left"/>
            </w:pPr>
            <w:r>
              <w:rPr>
                <w:rFonts w:hint="eastAsia" w:asciiTheme="minorEastAsia" w:hAnsiTheme="minorEastAsia" w:eastAsiaTheme="minorEastAsia" w:cstheme="minorEastAsia"/>
                <w:sz w:val="21"/>
                <w:szCs w:val="21"/>
              </w:rPr>
              <w:t>（十六）其他未列明行业。从业人员300人以下的为中小微型企业。其中，从业人员100人及以上的为中型企业；从业人员10人及以上的为小型企业；从业人员10人以下的为微型企业。</w:t>
            </w:r>
          </w:p>
        </w:tc>
      </w:tr>
      <w:tr>
        <w:tblPrEx>
          <w:tblCellMar>
            <w:top w:w="0" w:type="dxa"/>
            <w:left w:w="108" w:type="dxa"/>
            <w:bottom w:w="0" w:type="dxa"/>
            <w:right w:w="108" w:type="dxa"/>
          </w:tblCellMar>
        </w:tblPrEx>
        <w:trPr>
          <w:trHeight w:val="392" w:hRule="atLeast"/>
        </w:trPr>
        <w:tc>
          <w:tcPr>
            <w:tcW w:w="2129" w:type="dxa"/>
            <w:tcBorders>
              <w:top w:val="nil"/>
              <w:left w:val="nil"/>
              <w:bottom w:val="nil"/>
              <w:right w:val="nil"/>
            </w:tcBorders>
            <w:vAlign w:val="center"/>
          </w:tcPr>
          <w:p>
            <w:pPr>
              <w:widowControl/>
              <w:adjustRightInd w:val="0"/>
              <w:snapToGrid w:val="0"/>
              <w:jc w:val="left"/>
              <w:rPr>
                <w:rFonts w:hint="eastAsia" w:ascii="宋体" w:hAnsi="宋体" w:eastAsia="宋体" w:cs="宋体"/>
                <w:b/>
                <w:bCs/>
                <w:sz w:val="24"/>
              </w:rPr>
            </w:pPr>
          </w:p>
        </w:tc>
        <w:tc>
          <w:tcPr>
            <w:tcW w:w="2137" w:type="dxa"/>
            <w:tcBorders>
              <w:top w:val="nil"/>
              <w:left w:val="nil"/>
              <w:bottom w:val="nil"/>
              <w:right w:val="nil"/>
            </w:tcBorders>
            <w:noWrap/>
            <w:vAlign w:val="center"/>
          </w:tcPr>
          <w:p>
            <w:pPr>
              <w:widowControl/>
              <w:adjustRightInd w:val="0"/>
              <w:snapToGrid w:val="0"/>
              <w:jc w:val="left"/>
              <w:rPr>
                <w:rFonts w:hint="eastAsia" w:ascii="宋体" w:hAnsi="宋体" w:eastAsia="宋体" w:cs="宋体"/>
                <w:sz w:val="22"/>
                <w:szCs w:val="22"/>
              </w:rPr>
            </w:pPr>
          </w:p>
        </w:tc>
        <w:tc>
          <w:tcPr>
            <w:tcW w:w="1644" w:type="dxa"/>
            <w:tcBorders>
              <w:top w:val="nil"/>
              <w:left w:val="nil"/>
              <w:bottom w:val="nil"/>
              <w:right w:val="nil"/>
            </w:tcBorders>
            <w:noWrap/>
            <w:vAlign w:val="center"/>
          </w:tcPr>
          <w:p>
            <w:pPr>
              <w:widowControl/>
              <w:adjustRightInd w:val="0"/>
              <w:snapToGrid w:val="0"/>
              <w:jc w:val="left"/>
              <w:rPr>
                <w:rFonts w:hint="eastAsia" w:ascii="宋体" w:hAnsi="宋体" w:eastAsia="宋体" w:cs="宋体"/>
                <w:sz w:val="22"/>
                <w:szCs w:val="22"/>
              </w:rPr>
            </w:pPr>
          </w:p>
        </w:tc>
        <w:tc>
          <w:tcPr>
            <w:tcW w:w="2330" w:type="dxa"/>
            <w:tcBorders>
              <w:top w:val="nil"/>
              <w:left w:val="nil"/>
              <w:bottom w:val="nil"/>
              <w:right w:val="nil"/>
            </w:tcBorders>
            <w:noWrap/>
            <w:vAlign w:val="center"/>
          </w:tcPr>
          <w:p>
            <w:pPr>
              <w:widowControl/>
              <w:adjustRightInd w:val="0"/>
              <w:snapToGrid w:val="0"/>
              <w:jc w:val="left"/>
              <w:rPr>
                <w:rFonts w:hint="eastAsia" w:ascii="宋体" w:hAnsi="宋体" w:eastAsia="宋体" w:cs="宋体"/>
                <w:sz w:val="22"/>
                <w:szCs w:val="22"/>
              </w:rPr>
            </w:pPr>
          </w:p>
        </w:tc>
      </w:tr>
      <w:tr>
        <w:tblPrEx>
          <w:tblCellMar>
            <w:top w:w="0" w:type="dxa"/>
            <w:left w:w="108" w:type="dxa"/>
            <w:bottom w:w="0" w:type="dxa"/>
            <w:right w:w="108" w:type="dxa"/>
          </w:tblCellMar>
        </w:tblPrEx>
        <w:trPr>
          <w:trHeight w:val="287" w:hRule="atLeast"/>
        </w:trPr>
        <w:tc>
          <w:tcPr>
            <w:tcW w:w="5910" w:type="dxa"/>
            <w:gridSpan w:val="3"/>
            <w:tcBorders>
              <w:top w:val="nil"/>
              <w:left w:val="nil"/>
              <w:bottom w:val="nil"/>
              <w:right w:val="nil"/>
            </w:tcBorders>
            <w:noWrap/>
            <w:vAlign w:val="center"/>
          </w:tcPr>
          <w:p>
            <w:pPr>
              <w:widowControl/>
              <w:adjustRightInd w:val="0"/>
              <w:snapToGrid w:val="0"/>
              <w:jc w:val="right"/>
              <w:textAlignment w:val="center"/>
              <w:rPr>
                <w:rFonts w:hint="eastAsia" w:ascii="宋体" w:hAnsi="宋体" w:eastAsia="宋体" w:cs="宋体"/>
                <w:sz w:val="22"/>
                <w:szCs w:val="22"/>
              </w:rPr>
            </w:pPr>
            <w:r>
              <w:rPr>
                <w:rFonts w:hint="eastAsia" w:ascii="宋体" w:hAnsi="宋体" w:eastAsia="宋体" w:cs="宋体"/>
                <w:kern w:val="0"/>
                <w:sz w:val="22"/>
                <w:szCs w:val="22"/>
                <w:lang w:bidi="ar"/>
              </w:rPr>
              <w:t>供应商名称（加盖公章）：</w:t>
            </w:r>
          </w:p>
        </w:tc>
        <w:tc>
          <w:tcPr>
            <w:tcW w:w="2330" w:type="dxa"/>
            <w:tcBorders>
              <w:top w:val="nil"/>
              <w:left w:val="nil"/>
              <w:bottom w:val="nil"/>
              <w:right w:val="nil"/>
            </w:tcBorders>
            <w:noWrap/>
            <w:vAlign w:val="center"/>
          </w:tcPr>
          <w:p>
            <w:pPr>
              <w:widowControl/>
              <w:adjustRightInd w:val="0"/>
              <w:snapToGrid w:val="0"/>
              <w:rPr>
                <w:rFonts w:hint="eastAsia" w:ascii="宋体" w:hAnsi="宋体" w:eastAsia="宋体" w:cs="宋体"/>
                <w:sz w:val="22"/>
                <w:szCs w:val="22"/>
              </w:rPr>
            </w:pPr>
          </w:p>
        </w:tc>
      </w:tr>
      <w:tr>
        <w:tblPrEx>
          <w:tblCellMar>
            <w:top w:w="0" w:type="dxa"/>
            <w:left w:w="108" w:type="dxa"/>
            <w:bottom w:w="0" w:type="dxa"/>
            <w:right w:w="108" w:type="dxa"/>
          </w:tblCellMar>
        </w:tblPrEx>
        <w:trPr>
          <w:trHeight w:val="287" w:hRule="atLeast"/>
        </w:trPr>
        <w:tc>
          <w:tcPr>
            <w:tcW w:w="8240" w:type="dxa"/>
            <w:gridSpan w:val="4"/>
            <w:tcBorders>
              <w:top w:val="nil"/>
              <w:left w:val="nil"/>
              <w:bottom w:val="nil"/>
              <w:right w:val="nil"/>
            </w:tcBorders>
            <w:noWrap/>
            <w:vAlign w:val="center"/>
          </w:tcPr>
          <w:p>
            <w:pPr>
              <w:widowControl/>
              <w:adjustRightInd w:val="0"/>
              <w:snapToGrid w:val="0"/>
              <w:jc w:val="right"/>
              <w:textAlignment w:val="center"/>
              <w:rPr>
                <w:rFonts w:hint="eastAsia" w:ascii="宋体" w:hAnsi="宋体" w:eastAsia="宋体" w:cs="宋体"/>
                <w:sz w:val="22"/>
                <w:szCs w:val="22"/>
              </w:rPr>
            </w:pPr>
            <w:r>
              <w:rPr>
                <w:rFonts w:hint="eastAsia" w:ascii="宋体" w:hAnsi="宋体" w:eastAsia="宋体" w:cs="宋体"/>
                <w:kern w:val="0"/>
                <w:sz w:val="22"/>
                <w:szCs w:val="22"/>
                <w:lang w:bidi="ar"/>
              </w:rPr>
              <w:t>年   月   日</w:t>
            </w:r>
          </w:p>
        </w:tc>
      </w:tr>
    </w:tbl>
    <w:p>
      <w:pPr>
        <w:pStyle w:val="8"/>
        <w:ind w:left="0" w:leftChars="0" w:firstLine="0" w:firstLineChars="0"/>
      </w:pPr>
    </w:p>
    <w:sectPr>
      <w:footerReference r:id="rId3" w:type="default"/>
      <w:pgSz w:w="11906" w:h="16838"/>
      <w:pgMar w:top="1418" w:right="1814" w:bottom="1418" w:left="18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1" w:fontKey="{4D89C479-C07B-47F2-87A2-1C0706B33C2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18A138BF"/>
    <w:rsid w:val="009B5629"/>
    <w:rsid w:val="00AA5CDD"/>
    <w:rsid w:val="00AF3533"/>
    <w:rsid w:val="00B812BD"/>
    <w:rsid w:val="00F2011F"/>
    <w:rsid w:val="00FC4514"/>
    <w:rsid w:val="014B08FF"/>
    <w:rsid w:val="02F978FA"/>
    <w:rsid w:val="046A7E99"/>
    <w:rsid w:val="08CE1E54"/>
    <w:rsid w:val="0C045E2B"/>
    <w:rsid w:val="0D8E11A0"/>
    <w:rsid w:val="12D60970"/>
    <w:rsid w:val="131F5485"/>
    <w:rsid w:val="16910C6C"/>
    <w:rsid w:val="18A138BF"/>
    <w:rsid w:val="19F7190E"/>
    <w:rsid w:val="1D8352EE"/>
    <w:rsid w:val="266C50BB"/>
    <w:rsid w:val="27D11590"/>
    <w:rsid w:val="285B3A98"/>
    <w:rsid w:val="2A3938F5"/>
    <w:rsid w:val="2B821C11"/>
    <w:rsid w:val="2F77098D"/>
    <w:rsid w:val="2FB41B3F"/>
    <w:rsid w:val="30EF0CD6"/>
    <w:rsid w:val="322E4844"/>
    <w:rsid w:val="32935ADE"/>
    <w:rsid w:val="32A45FDC"/>
    <w:rsid w:val="337E5A99"/>
    <w:rsid w:val="39D14069"/>
    <w:rsid w:val="40774FC4"/>
    <w:rsid w:val="47A2145A"/>
    <w:rsid w:val="483A3088"/>
    <w:rsid w:val="4F3B50DC"/>
    <w:rsid w:val="51360681"/>
    <w:rsid w:val="54BA0D15"/>
    <w:rsid w:val="55801A9A"/>
    <w:rsid w:val="57C23836"/>
    <w:rsid w:val="65D30EE2"/>
    <w:rsid w:val="67051BEE"/>
    <w:rsid w:val="6BD13EFE"/>
    <w:rsid w:val="6C00407B"/>
    <w:rsid w:val="6DAC0CFD"/>
    <w:rsid w:val="739C4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spacing w:after="120"/>
    </w:pPr>
    <w:rPr>
      <w:kern w:val="0"/>
    </w:rPr>
  </w:style>
  <w:style w:type="paragraph" w:styleId="4">
    <w:name w:val="Body Text Indent"/>
    <w:basedOn w:val="1"/>
    <w:next w:val="5"/>
    <w:qFormat/>
    <w:uiPriority w:val="0"/>
    <w:pPr>
      <w:spacing w:line="700" w:lineRule="exact"/>
      <w:ind w:left="960"/>
    </w:pPr>
    <w:rPr>
      <w:sz w:val="44"/>
    </w:rPr>
  </w:style>
  <w:style w:type="paragraph" w:styleId="5">
    <w:name w:val="envelope return"/>
    <w:basedOn w:val="1"/>
    <w:unhideWhenUsed/>
    <w:qFormat/>
    <w:uiPriority w:val="99"/>
    <w:pPr>
      <w:snapToGrid w:val="0"/>
    </w:pPr>
    <w:rPr>
      <w:rFonts w:ascii="Arial" w:hAnsi="Arial"/>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Body Text First Indent"/>
    <w:basedOn w:val="3"/>
    <w:qFormat/>
    <w:uiPriority w:val="0"/>
    <w:pPr>
      <w:ind w:firstLine="420" w:firstLineChars="100"/>
    </w:pPr>
  </w:style>
  <w:style w:type="paragraph" w:styleId="8">
    <w:name w:val="Body Text First Indent 2"/>
    <w:basedOn w:val="4"/>
    <w:next w:val="7"/>
    <w:qFormat/>
    <w:uiPriority w:val="0"/>
    <w:pPr>
      <w:spacing w:after="120" w:line="240" w:lineRule="auto"/>
      <w:ind w:left="420" w:leftChars="200" w:firstLine="420" w:firstLineChars="200"/>
    </w:pPr>
    <w:rPr>
      <w:sz w:val="28"/>
    </w:rPr>
  </w:style>
  <w:style w:type="character" w:customStyle="1" w:styleId="11">
    <w:name w:val="font61"/>
    <w:basedOn w:val="10"/>
    <w:qFormat/>
    <w:uiPriority w:val="0"/>
    <w:rPr>
      <w:rFonts w:hint="default" w:ascii="Calibri" w:hAnsi="Calibri" w:cs="Calibri"/>
      <w:color w:val="000000"/>
      <w:sz w:val="32"/>
      <w:szCs w:val="32"/>
      <w:u w:val="none"/>
    </w:rPr>
  </w:style>
  <w:style w:type="character" w:customStyle="1" w:styleId="12">
    <w:name w:val="font41"/>
    <w:basedOn w:val="10"/>
    <w:qFormat/>
    <w:uiPriority w:val="0"/>
    <w:rPr>
      <w:rFonts w:hint="eastAsia" w:ascii="宋体" w:hAnsi="宋体" w:eastAsia="宋体" w:cs="宋体"/>
      <w:color w:val="000000"/>
      <w:sz w:val="32"/>
      <w:szCs w:val="32"/>
      <w:u w:val="none"/>
    </w:rPr>
  </w:style>
  <w:style w:type="paragraph" w:customStyle="1" w:styleId="13">
    <w:name w:val="Revision"/>
    <w:hidden/>
    <w:unhideWhenUsed/>
    <w:qFormat/>
    <w:uiPriority w:val="99"/>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5744</Words>
  <Characters>6256</Characters>
  <Lines>76</Lines>
  <Paragraphs>21</Paragraphs>
  <TotalTime>9</TotalTime>
  <ScaleCrop>false</ScaleCrop>
  <LinksUpToDate>false</LinksUpToDate>
  <CharactersWithSpaces>6380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2026-03-26T07:03:00Z</dcterms:created>
  <dc:creator>WPS_1717571575</dc:creator>
  <cp:lastModifiedBy>WPS_1717571575</cp:lastModifiedBy>
  <cp:lastPrinted>2026-06-09T02:04:00Z</cp:lastPrinted>
  <dcterms:modified xsi:type="dcterms:W3CDTF">2026-06-11T00:14:36Z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CB5123BEB5A8430DB6F5728B68C77FD9_13</vt:lpwstr>
  </property>
  <property fmtid="{D5CDD505-2E9C-101B-9397-08002B2CF9AE}" pid="4" name="KSOTemplateDocerSaveRecord">
    <vt:lpwstr>eyJoZGlkIjoiZmRiOTBmMzNhYTMyMTE0MzYzNjRlODVlYzk2MGZjNTUiLCJ1c2VySWQiOiI5MDg3NzMxIn0=</vt:lpwstr>
  </property>
</Properties>
</file>