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方正仿宋_GBK" w:cs="Times New Roman"/>
          <w:sz w:val="36"/>
          <w:szCs w:val="44"/>
          <w:lang w:val="en-US" w:eastAsia="zh-CN"/>
        </w:rPr>
      </w:pPr>
      <w:r>
        <w:rPr>
          <w:rFonts w:hint="default" w:ascii="Times New Roman" w:hAnsi="Times New Roman" w:eastAsia="方正仿宋_GBK" w:cs="Times New Roman"/>
          <w:sz w:val="36"/>
          <w:szCs w:val="44"/>
          <w:lang w:val="en-US" w:eastAsia="zh-CN"/>
        </w:rPr>
        <w:t>询价公告</w:t>
      </w:r>
    </w:p>
    <w:p>
      <w:pPr>
        <w:ind w:firstLine="480" w:firstLineChars="200"/>
        <w:rPr>
          <w:rFonts w:hint="default" w:ascii="Times New Roman" w:hAnsi="Times New Roman" w:eastAsia="方正仿宋_GBK" w:cs="Times New Roman"/>
          <w:sz w:val="24"/>
          <w:szCs w:val="24"/>
          <w:lang w:val="en-US" w:eastAsia="zh-CN"/>
        </w:rPr>
      </w:pPr>
    </w:p>
    <w:p>
      <w:pPr>
        <w:pageBreakBefore w:val="0"/>
        <w:widowControl w:val="0"/>
        <w:kinsoku/>
        <w:overflowPunct/>
        <w:topLinePunct w:val="0"/>
        <w:autoSpaceDE/>
        <w:autoSpaceDN/>
        <w:bidi w:val="0"/>
        <w:spacing w:before="157" w:beforeLines="50" w:after="120" w:line="240" w:lineRule="auto"/>
        <w:ind w:firstLine="480" w:firstLineChars="200"/>
        <w:textAlignment w:val="auto"/>
        <w:rPr>
          <w:rFonts w:hint="default" w:ascii="Times New Roman" w:hAnsi="Times New Roman" w:eastAsia="方正仿宋_GBK" w:cs="Times New Roman"/>
          <w:sz w:val="24"/>
          <w:szCs w:val="24"/>
          <w:lang w:val="en-US" w:eastAsia="zh-CN"/>
        </w:rPr>
      </w:pPr>
      <w:r>
        <w:rPr>
          <w:rFonts w:hint="default" w:ascii="Times New Roman" w:hAnsi="Times New Roman" w:eastAsia="方正仿宋_GBK" w:cs="Times New Roman"/>
          <w:sz w:val="24"/>
          <w:szCs w:val="24"/>
          <w:lang w:val="en-US" w:eastAsia="zh-CN"/>
        </w:rPr>
        <w:t>医院需采购医联体检验中心</w:t>
      </w:r>
      <w:r>
        <w:rPr>
          <w:rFonts w:hint="eastAsia" w:ascii="Times New Roman" w:hAnsi="Times New Roman" w:eastAsia="方正仿宋_GBK" w:cs="Times New Roman"/>
          <w:sz w:val="24"/>
          <w:szCs w:val="24"/>
          <w:lang w:val="en-US" w:eastAsia="zh-CN"/>
        </w:rPr>
        <w:t>物流</w:t>
      </w:r>
      <w:r>
        <w:rPr>
          <w:rFonts w:hint="default" w:ascii="Times New Roman" w:hAnsi="Times New Roman" w:eastAsia="方正仿宋_GBK" w:cs="Times New Roman"/>
          <w:sz w:val="24"/>
          <w:szCs w:val="24"/>
          <w:lang w:val="en-US" w:eastAsia="zh-CN"/>
        </w:rPr>
        <w:t>服务，</w:t>
      </w:r>
      <w:r>
        <w:rPr>
          <w:rFonts w:hint="default" w:ascii="Times New Roman" w:hAnsi="Times New Roman" w:eastAsia="方正仿宋_GBK" w:cs="Times New Roman"/>
          <w:b w:val="0"/>
          <w:bCs/>
          <w:sz w:val="24"/>
          <w:szCs w:val="24"/>
          <w:highlight w:val="none"/>
        </w:rPr>
        <w:t>欢迎有资格的供应商</w:t>
      </w:r>
      <w:r>
        <w:rPr>
          <w:rFonts w:hint="default" w:ascii="Times New Roman" w:hAnsi="Times New Roman" w:eastAsia="方正仿宋_GBK" w:cs="Times New Roman"/>
          <w:sz w:val="24"/>
          <w:szCs w:val="24"/>
          <w:lang w:val="en-US" w:eastAsia="zh-CN"/>
        </w:rPr>
        <w:t>进行报价。</w:t>
      </w:r>
    </w:p>
    <w:p>
      <w:pPr>
        <w:pStyle w:val="3"/>
        <w:keepNext w:val="0"/>
        <w:keepLines w:val="0"/>
        <w:pageBreakBefore w:val="0"/>
        <w:widowControl w:val="0"/>
        <w:kinsoku/>
        <w:wordWrap/>
        <w:overflowPunct/>
        <w:topLinePunct w:val="0"/>
        <w:autoSpaceDE/>
        <w:autoSpaceDN/>
        <w:bidi w:val="0"/>
        <w:adjustRightInd/>
        <w:snapToGrid/>
        <w:spacing w:before="157" w:beforeLines="50" w:after="120" w:line="240" w:lineRule="auto"/>
        <w:ind w:firstLine="561"/>
        <w:textAlignment w:val="auto"/>
        <w:outlineLvl w:val="0"/>
        <w:rPr>
          <w:rFonts w:hint="default" w:ascii="Times New Roman" w:hAnsi="Times New Roman" w:eastAsia="方正仿宋_GBK" w:cs="Times New Roman"/>
          <w:b/>
          <w:sz w:val="24"/>
          <w:szCs w:val="24"/>
          <w:highlight w:val="none"/>
          <w:lang w:eastAsia="zh-CN"/>
        </w:rPr>
      </w:pPr>
      <w:r>
        <w:rPr>
          <w:rFonts w:hint="default" w:ascii="Times New Roman" w:hAnsi="Times New Roman" w:eastAsia="方正仿宋_GBK" w:cs="Times New Roman"/>
          <w:b/>
          <w:sz w:val="24"/>
          <w:szCs w:val="24"/>
          <w:highlight w:val="none"/>
          <w:lang w:val="en-US" w:eastAsia="zh-CN"/>
        </w:rPr>
        <w:t>一</w:t>
      </w:r>
      <w:r>
        <w:rPr>
          <w:rFonts w:hint="default" w:ascii="Times New Roman" w:hAnsi="Times New Roman" w:eastAsia="方正仿宋_GBK" w:cs="Times New Roman"/>
          <w:b/>
          <w:sz w:val="24"/>
          <w:szCs w:val="24"/>
          <w:highlight w:val="none"/>
          <w:lang w:eastAsia="zh-CN"/>
        </w:rPr>
        <w:t>、文件的获取</w:t>
      </w:r>
    </w:p>
    <w:p>
      <w:pPr>
        <w:pStyle w:val="4"/>
        <w:pageBreakBefore w:val="0"/>
        <w:widowControl w:val="0"/>
        <w:kinsoku/>
        <w:overflowPunct/>
        <w:topLinePunct w:val="0"/>
        <w:autoSpaceDE/>
        <w:autoSpaceDN/>
        <w:bidi w:val="0"/>
        <w:spacing w:before="157" w:beforeLines="50" w:beforeAutospacing="0" w:after="120" w:afterAutospacing="0" w:line="240" w:lineRule="auto"/>
        <w:ind w:firstLine="480"/>
        <w:jc w:val="both"/>
        <w:textAlignment w:val="auto"/>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kern w:val="2"/>
          <w:sz w:val="24"/>
          <w:szCs w:val="24"/>
          <w:highlight w:val="none"/>
          <w:lang w:val="en-US" w:eastAsia="zh-CN" w:bidi="ar-SA"/>
        </w:rPr>
        <w:t>凡有意参加的供应商，请于公告发布之日起至提交响应文件截止时间之前在重庆两江新区人民医院官网(http://www.ljxqrmyy.com/html/yyzb/)自行下载项目资料，无论供应商下载与否，均视为已知晓所有文件实质性要求内容。</w:t>
      </w:r>
    </w:p>
    <w:p>
      <w:pPr>
        <w:pStyle w:val="3"/>
        <w:keepNext w:val="0"/>
        <w:keepLines w:val="0"/>
        <w:pageBreakBefore w:val="0"/>
        <w:widowControl w:val="0"/>
        <w:kinsoku/>
        <w:wordWrap/>
        <w:overflowPunct/>
        <w:topLinePunct w:val="0"/>
        <w:autoSpaceDE/>
        <w:autoSpaceDN/>
        <w:bidi w:val="0"/>
        <w:adjustRightInd/>
        <w:snapToGrid/>
        <w:spacing w:before="157" w:beforeLines="50" w:after="120" w:line="240" w:lineRule="auto"/>
        <w:ind w:firstLine="561"/>
        <w:textAlignment w:val="auto"/>
        <w:rPr>
          <w:rFonts w:hint="default" w:ascii="Times New Roman" w:hAnsi="Times New Roman" w:eastAsia="方正仿宋_GBK" w:cs="Times New Roman"/>
          <w:b/>
          <w:sz w:val="24"/>
          <w:szCs w:val="24"/>
          <w:highlight w:val="none"/>
          <w:lang w:eastAsia="zh-CN"/>
        </w:rPr>
      </w:pPr>
      <w:r>
        <w:rPr>
          <w:rFonts w:hint="default" w:ascii="Times New Roman" w:hAnsi="Times New Roman" w:eastAsia="方正仿宋_GBK" w:cs="Times New Roman"/>
          <w:b/>
          <w:sz w:val="24"/>
          <w:szCs w:val="24"/>
          <w:highlight w:val="none"/>
          <w:lang w:val="en-US" w:eastAsia="zh-CN"/>
        </w:rPr>
        <w:t>二</w:t>
      </w:r>
      <w:r>
        <w:rPr>
          <w:rFonts w:hint="default" w:ascii="Times New Roman" w:hAnsi="Times New Roman" w:eastAsia="方正仿宋_GBK" w:cs="Times New Roman"/>
          <w:b/>
          <w:sz w:val="24"/>
          <w:szCs w:val="24"/>
          <w:highlight w:val="none"/>
          <w:lang w:eastAsia="zh-CN"/>
        </w:rPr>
        <w:t>、响应文件的递交</w:t>
      </w:r>
    </w:p>
    <w:p>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eastAsia="zh-CN"/>
        </w:rPr>
      </w:pPr>
      <w:r>
        <w:rPr>
          <w:rFonts w:hint="default" w:ascii="Times New Roman" w:hAnsi="Times New Roman" w:eastAsia="方正仿宋_GBK" w:cs="Times New Roman"/>
          <w:sz w:val="24"/>
          <w:szCs w:val="24"/>
          <w:highlight w:val="none"/>
          <w:lang w:eastAsia="zh-CN"/>
        </w:rPr>
        <w:t>响应文件递交</w:t>
      </w:r>
      <w:r>
        <w:rPr>
          <w:rFonts w:hint="default" w:ascii="Times New Roman" w:hAnsi="Times New Roman" w:eastAsia="方正仿宋_GBK" w:cs="Times New Roman"/>
          <w:color w:val="auto"/>
          <w:sz w:val="24"/>
          <w:szCs w:val="24"/>
          <w:highlight w:val="none"/>
          <w:lang w:eastAsia="zh-CN"/>
        </w:rPr>
        <w:t>的</w:t>
      </w:r>
      <w:r>
        <w:rPr>
          <w:rFonts w:hint="default" w:ascii="Times New Roman" w:hAnsi="Times New Roman" w:eastAsia="方正仿宋_GBK" w:cs="Times New Roman"/>
          <w:color w:val="auto"/>
          <w:sz w:val="24"/>
          <w:szCs w:val="24"/>
          <w:highlight w:val="none"/>
          <w:lang w:val="en-US" w:eastAsia="zh-CN"/>
        </w:rPr>
        <w:t>截止</w:t>
      </w:r>
      <w:r>
        <w:rPr>
          <w:rFonts w:hint="default" w:ascii="Times New Roman" w:hAnsi="Times New Roman" w:eastAsia="方正仿宋_GBK" w:cs="Times New Roman"/>
          <w:color w:val="auto"/>
          <w:sz w:val="24"/>
          <w:szCs w:val="24"/>
          <w:highlight w:val="none"/>
          <w:lang w:eastAsia="zh-CN"/>
        </w:rPr>
        <w:t>时</w:t>
      </w:r>
      <w:r>
        <w:rPr>
          <w:rFonts w:hint="default" w:ascii="Times New Roman" w:hAnsi="Times New Roman" w:eastAsia="方正仿宋_GBK" w:cs="Times New Roman"/>
          <w:sz w:val="24"/>
          <w:szCs w:val="24"/>
          <w:highlight w:val="none"/>
          <w:lang w:eastAsia="zh-CN"/>
        </w:rPr>
        <w:t>间为：</w:t>
      </w:r>
      <w:bookmarkStart w:id="0" w:name="_GoBack"/>
      <w:r>
        <w:rPr>
          <w:rFonts w:hint="default" w:ascii="Times New Roman" w:hAnsi="Times New Roman" w:eastAsia="方正仿宋_GBK" w:cs="Times New Roman"/>
          <w:sz w:val="24"/>
          <w:szCs w:val="24"/>
          <w:highlight w:val="none"/>
          <w:lang w:val="en-US" w:eastAsia="zh-CN"/>
        </w:rPr>
        <w:t>2026年7月</w:t>
      </w:r>
      <w:r>
        <w:rPr>
          <w:rFonts w:hint="eastAsia" w:ascii="Times New Roman" w:hAnsi="Times New Roman" w:eastAsia="方正仿宋_GBK" w:cs="Times New Roman"/>
          <w:sz w:val="24"/>
          <w:szCs w:val="24"/>
          <w:highlight w:val="none"/>
          <w:lang w:val="en-US" w:eastAsia="zh-CN"/>
        </w:rPr>
        <w:t>22</w:t>
      </w:r>
      <w:r>
        <w:rPr>
          <w:rFonts w:hint="default" w:ascii="Times New Roman" w:hAnsi="Times New Roman" w:eastAsia="方正仿宋_GBK" w:cs="Times New Roman"/>
          <w:sz w:val="24"/>
          <w:szCs w:val="24"/>
          <w:highlight w:val="none"/>
          <w:lang w:val="en-US" w:eastAsia="zh-CN"/>
        </w:rPr>
        <w:t>日</w:t>
      </w:r>
      <w:bookmarkEnd w:id="0"/>
      <w:r>
        <w:rPr>
          <w:rFonts w:hint="default" w:ascii="Times New Roman" w:hAnsi="Times New Roman" w:eastAsia="方正仿宋_GBK" w:cs="Times New Roman"/>
          <w:sz w:val="24"/>
          <w:szCs w:val="24"/>
          <w:highlight w:val="none"/>
          <w:lang w:val="en-US" w:eastAsia="zh-CN"/>
        </w:rPr>
        <w:t>上</w:t>
      </w:r>
      <w:r>
        <w:rPr>
          <w:rFonts w:hint="default" w:ascii="Times New Roman" w:hAnsi="Times New Roman" w:eastAsia="方正仿宋_GBK" w:cs="Times New Roman"/>
          <w:color w:val="auto"/>
          <w:sz w:val="24"/>
          <w:szCs w:val="24"/>
          <w:highlight w:val="none"/>
          <w:lang w:val="en-US" w:eastAsia="zh-CN"/>
        </w:rPr>
        <w:t>午12点前。</w:t>
      </w:r>
      <w:r>
        <w:rPr>
          <w:rFonts w:hint="default" w:ascii="Times New Roman" w:hAnsi="Times New Roman" w:eastAsia="方正仿宋_GBK" w:cs="Times New Roman"/>
          <w:sz w:val="24"/>
          <w:szCs w:val="24"/>
          <w:highlight w:val="none"/>
          <w:lang w:eastAsia="zh-CN"/>
        </w:rPr>
        <w:t>逾期</w:t>
      </w:r>
      <w:r>
        <w:rPr>
          <w:rFonts w:hint="default" w:ascii="Times New Roman" w:hAnsi="Times New Roman" w:eastAsia="方正仿宋_GBK" w:cs="Times New Roman"/>
          <w:sz w:val="24"/>
          <w:szCs w:val="24"/>
          <w:highlight w:val="none"/>
          <w:lang w:val="en-US" w:eastAsia="zh-CN"/>
        </w:rPr>
        <w:t>递交/</w:t>
      </w:r>
      <w:r>
        <w:rPr>
          <w:rFonts w:hint="default" w:ascii="Times New Roman" w:hAnsi="Times New Roman" w:eastAsia="方正仿宋_GBK" w:cs="Times New Roman"/>
          <w:sz w:val="24"/>
          <w:szCs w:val="24"/>
          <w:highlight w:val="none"/>
          <w:lang w:eastAsia="zh-CN"/>
        </w:rPr>
        <w:t>送达的响应文件将被拒绝。</w:t>
      </w:r>
    </w:p>
    <w:p>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eastAsia="zh-CN"/>
        </w:rPr>
      </w:pPr>
      <w:r>
        <w:rPr>
          <w:rFonts w:hint="default" w:ascii="Times New Roman" w:hAnsi="Times New Roman" w:eastAsia="方正仿宋_GBK" w:cs="Times New Roman"/>
          <w:sz w:val="24"/>
          <w:szCs w:val="24"/>
          <w:highlight w:val="none"/>
          <w:lang w:eastAsia="zh-CN"/>
        </w:rPr>
        <w:fldChar w:fldCharType="begin"/>
      </w:r>
      <w:r>
        <w:rPr>
          <w:rFonts w:hint="default" w:ascii="Times New Roman" w:hAnsi="Times New Roman" w:eastAsia="方正仿宋_GBK" w:cs="Times New Roman"/>
          <w:sz w:val="24"/>
          <w:szCs w:val="24"/>
          <w:highlight w:val="none"/>
          <w:lang w:eastAsia="zh-CN"/>
        </w:rPr>
        <w:instrText xml:space="preserve"> HYPERLINK "mailto:3.在文件获取期限内，供应商须将《竞采文件获取登记表》（加盖供应商公章）扫描后发送至scitcq2024@163.com或到代理机构递交纸质件。" </w:instrText>
      </w:r>
      <w:r>
        <w:rPr>
          <w:rFonts w:hint="default" w:ascii="Times New Roman" w:hAnsi="Times New Roman" w:eastAsia="方正仿宋_GBK" w:cs="Times New Roman"/>
          <w:sz w:val="24"/>
          <w:szCs w:val="24"/>
          <w:highlight w:val="none"/>
          <w:lang w:eastAsia="zh-CN"/>
        </w:rPr>
        <w:fldChar w:fldCharType="separate"/>
      </w:r>
      <w:r>
        <w:rPr>
          <w:rFonts w:hint="default" w:ascii="Times New Roman" w:hAnsi="Times New Roman" w:eastAsia="方正仿宋_GBK" w:cs="Times New Roman"/>
          <w:sz w:val="24"/>
          <w:szCs w:val="24"/>
          <w:highlight w:val="none"/>
          <w:lang w:val="en-US" w:eastAsia="zh-CN"/>
        </w:rPr>
        <w:t>响应文件内容：</w:t>
      </w:r>
      <w:r>
        <w:rPr>
          <w:rFonts w:hint="default" w:ascii="Times New Roman" w:hAnsi="Times New Roman" w:eastAsia="方正仿宋_GBK" w:cs="Times New Roman"/>
          <w:b/>
          <w:bCs/>
          <w:sz w:val="24"/>
          <w:szCs w:val="24"/>
          <w:highlight w:val="none"/>
          <w:lang w:val="en-US" w:eastAsia="zh-CN"/>
        </w:rPr>
        <w:t>报价单+供应商营业执照</w:t>
      </w:r>
      <w:r>
        <w:rPr>
          <w:rFonts w:hint="default" w:ascii="Times New Roman" w:hAnsi="Times New Roman" w:eastAsia="方正仿宋_GBK" w:cs="Times New Roman"/>
          <w:b/>
          <w:bCs/>
          <w:color w:val="auto"/>
          <w:sz w:val="24"/>
          <w:szCs w:val="24"/>
          <w:highlight w:val="none"/>
          <w:lang w:val="en-US" w:eastAsia="zh-CN"/>
        </w:rPr>
        <w:t>+加盖公章扫</w:t>
      </w:r>
      <w:r>
        <w:rPr>
          <w:rFonts w:hint="default" w:ascii="Times New Roman" w:hAnsi="Times New Roman" w:eastAsia="方正仿宋_GBK" w:cs="Times New Roman"/>
          <w:b/>
          <w:bCs/>
          <w:color w:val="auto"/>
          <w:sz w:val="24"/>
          <w:szCs w:val="24"/>
          <w:highlight w:val="none"/>
          <w:lang w:eastAsia="zh-CN"/>
        </w:rPr>
        <w:t>描</w:t>
      </w:r>
      <w:r>
        <w:rPr>
          <w:rFonts w:hint="default" w:ascii="Times New Roman" w:hAnsi="Times New Roman" w:eastAsia="方正仿宋_GBK" w:cs="Times New Roman"/>
          <w:b/>
          <w:bCs/>
          <w:color w:val="auto"/>
          <w:sz w:val="24"/>
          <w:szCs w:val="24"/>
          <w:highlight w:val="none"/>
          <w:lang w:val="en-US" w:eastAsia="zh-CN"/>
        </w:rPr>
        <w:t>成一个文档</w:t>
      </w:r>
      <w:r>
        <w:rPr>
          <w:rFonts w:hint="default" w:ascii="Times New Roman" w:hAnsi="Times New Roman" w:eastAsia="方正仿宋_GBK" w:cs="Times New Roman"/>
          <w:sz w:val="24"/>
          <w:szCs w:val="24"/>
          <w:highlight w:val="none"/>
          <w:lang w:eastAsia="zh-CN"/>
        </w:rPr>
        <w:t>后发送至邮箱704499879@qq.com，</w:t>
      </w:r>
      <w:r>
        <w:rPr>
          <w:rFonts w:hint="default" w:ascii="Times New Roman" w:hAnsi="Times New Roman" w:eastAsia="方正仿宋_GBK" w:cs="Times New Roman"/>
          <w:sz w:val="24"/>
          <w:szCs w:val="24"/>
          <w:highlight w:val="none"/>
          <w:lang w:val="en-US" w:eastAsia="zh-CN"/>
        </w:rPr>
        <w:t>或递交至两江新区人民医院A院区科教楼607</w:t>
      </w:r>
      <w:r>
        <w:rPr>
          <w:rFonts w:hint="default" w:ascii="Times New Roman" w:hAnsi="Times New Roman" w:eastAsia="方正仿宋_GBK" w:cs="Times New Roman"/>
          <w:sz w:val="24"/>
          <w:szCs w:val="24"/>
          <w:highlight w:val="none"/>
          <w:lang w:eastAsia="zh-CN"/>
        </w:rPr>
        <w:t>。</w:t>
      </w:r>
      <w:r>
        <w:rPr>
          <w:rFonts w:hint="default" w:ascii="Times New Roman" w:hAnsi="Times New Roman" w:eastAsia="方正仿宋_GBK" w:cs="Times New Roman"/>
          <w:sz w:val="24"/>
          <w:szCs w:val="24"/>
          <w:highlight w:val="none"/>
          <w:lang w:eastAsia="zh-CN"/>
        </w:rPr>
        <w:fldChar w:fldCharType="end"/>
      </w:r>
    </w:p>
    <w:p>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eastAsia="zh-CN"/>
        </w:rPr>
      </w:pPr>
      <w:r>
        <w:rPr>
          <w:rFonts w:hint="default" w:ascii="Times New Roman" w:hAnsi="Times New Roman" w:eastAsia="方正仿宋_GBK" w:cs="Times New Roman"/>
          <w:sz w:val="24"/>
          <w:szCs w:val="24"/>
          <w:highlight w:val="none"/>
          <w:lang w:eastAsia="zh-CN"/>
        </w:rPr>
        <w:t>邮件主题为：项目名称+公司名称；邮件附件：上述材料的扫描件（pdf格式），文件名称与邮件主题一致。</w:t>
      </w:r>
    </w:p>
    <w:p>
      <w:pPr>
        <w:pStyle w:val="3"/>
        <w:keepNext w:val="0"/>
        <w:keepLines w:val="0"/>
        <w:pageBreakBefore w:val="0"/>
        <w:widowControl w:val="0"/>
        <w:numPr>
          <w:ilvl w:val="0"/>
          <w:numId w:val="1"/>
        </w:numPr>
        <w:kinsoku/>
        <w:wordWrap/>
        <w:overflowPunct/>
        <w:topLinePunct w:val="0"/>
        <w:autoSpaceDE/>
        <w:autoSpaceDN/>
        <w:bidi w:val="0"/>
        <w:adjustRightInd/>
        <w:snapToGrid/>
        <w:spacing w:before="157" w:beforeLines="50" w:after="120" w:line="240" w:lineRule="auto"/>
        <w:ind w:firstLine="561"/>
        <w:textAlignment w:val="auto"/>
        <w:rPr>
          <w:rFonts w:hint="default" w:ascii="Times New Roman" w:hAnsi="Times New Roman" w:eastAsia="方正仿宋_GBK" w:cs="Times New Roman"/>
          <w:b/>
          <w:sz w:val="24"/>
          <w:szCs w:val="24"/>
          <w:highlight w:val="none"/>
          <w:lang w:val="en-US" w:eastAsia="zh-CN"/>
        </w:rPr>
      </w:pPr>
      <w:r>
        <w:rPr>
          <w:rFonts w:hint="default" w:ascii="Times New Roman" w:hAnsi="Times New Roman" w:eastAsia="方正仿宋_GBK" w:cs="Times New Roman"/>
          <w:b/>
          <w:sz w:val="24"/>
          <w:szCs w:val="24"/>
          <w:highlight w:val="none"/>
          <w:lang w:val="en-US" w:eastAsia="zh-CN"/>
        </w:rPr>
        <w:t>标的物指标参数（服务内容及技术要求）</w:t>
      </w:r>
    </w:p>
    <w:p>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eastAsia="zh-CN"/>
        </w:rPr>
      </w:pPr>
      <w:r>
        <w:rPr>
          <w:rFonts w:hint="default" w:ascii="Times New Roman" w:hAnsi="Times New Roman" w:eastAsia="方正仿宋_GBK" w:cs="Times New Roman"/>
          <w:sz w:val="24"/>
          <w:szCs w:val="24"/>
          <w:highlight w:val="none"/>
          <w:lang w:eastAsia="zh-CN"/>
        </w:rPr>
        <w:t>供应商须按以下服务内容及要求提供服务，并提供相关技术响应材料。</w:t>
      </w:r>
    </w:p>
    <w:p>
      <w:pPr>
        <w:pStyle w:val="3"/>
        <w:pageBreakBefore w:val="0"/>
        <w:widowControl w:val="0"/>
        <w:numPr>
          <w:ilvl w:val="0"/>
          <w:numId w:val="2"/>
        </w:numPr>
        <w:kinsoku/>
        <w:overflowPunct/>
        <w:topLinePunct w:val="0"/>
        <w:autoSpaceDE/>
        <w:autoSpaceDN/>
        <w:bidi w:val="0"/>
        <w:spacing w:before="157" w:beforeLines="50" w:after="120" w:line="240" w:lineRule="auto"/>
        <w:ind w:left="567" w:leftChars="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bCs/>
          <w:sz w:val="24"/>
          <w:szCs w:val="24"/>
          <w:highlight w:val="none"/>
          <w:lang w:val="en-US" w:eastAsia="zh-CN"/>
        </w:rPr>
        <w:t>服务内容</w:t>
      </w:r>
    </w:p>
    <w:p>
      <w:pPr>
        <w:pStyle w:val="3"/>
        <w:keepNext w:val="0"/>
        <w:keepLines w:val="0"/>
        <w:pageBreakBefore w:val="0"/>
        <w:widowControl w:val="0"/>
        <w:numPr>
          <w:ilvl w:val="0"/>
          <w:numId w:val="3"/>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对医联体检验中心实验室及区域医疗机构包括人和、金山、天宫殿、鸳鸯、翠云等社区卫生服务中心及医</w:t>
      </w:r>
      <w:r>
        <w:rPr>
          <w:rFonts w:hint="eastAsia" w:ascii="Times New Roman" w:hAnsi="Times New Roman" w:eastAsia="方正仿宋_GBK" w:cs="Times New Roman"/>
          <w:b w:val="0"/>
          <w:bCs w:val="0"/>
          <w:sz w:val="24"/>
          <w:szCs w:val="24"/>
          <w:highlight w:val="none"/>
          <w:lang w:val="en-US" w:eastAsia="zh-CN"/>
        </w:rPr>
        <w:t>养</w:t>
      </w:r>
      <w:r>
        <w:rPr>
          <w:rFonts w:hint="default" w:ascii="Times New Roman" w:hAnsi="Times New Roman" w:eastAsia="方正仿宋_GBK" w:cs="Times New Roman"/>
          <w:b w:val="0"/>
          <w:bCs w:val="0"/>
          <w:sz w:val="24"/>
          <w:szCs w:val="24"/>
          <w:highlight w:val="none"/>
          <w:lang w:val="en-US" w:eastAsia="zh-CN"/>
        </w:rPr>
        <w:t>中心等提供标本物流转运等标准服务；</w:t>
      </w:r>
    </w:p>
    <w:p>
      <w:pPr>
        <w:pStyle w:val="3"/>
        <w:keepNext w:val="0"/>
        <w:keepLines w:val="0"/>
        <w:pageBreakBefore w:val="0"/>
        <w:widowControl w:val="0"/>
        <w:numPr>
          <w:ilvl w:val="0"/>
          <w:numId w:val="3"/>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根据医联体检验中心的发展及临床需要，提供信息化系统服务；</w:t>
      </w:r>
    </w:p>
    <w:p>
      <w:pPr>
        <w:pStyle w:val="3"/>
        <w:keepNext w:val="0"/>
        <w:keepLines w:val="0"/>
        <w:pageBreakBefore w:val="0"/>
        <w:widowControl w:val="0"/>
        <w:numPr>
          <w:ilvl w:val="0"/>
          <w:numId w:val="3"/>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对医联体检验中心建设服务提供技术、学术支持服务及ISO15189认可辅助指导。</w:t>
      </w:r>
    </w:p>
    <w:p>
      <w:pPr>
        <w:pStyle w:val="3"/>
        <w:keepNext w:val="0"/>
        <w:keepLines w:val="0"/>
        <w:pageBreakBefore w:val="0"/>
        <w:widowControl w:val="0"/>
        <w:numPr>
          <w:ilvl w:val="0"/>
          <w:numId w:val="3"/>
        </w:numPr>
        <w:kinsoku/>
        <w:wordWrap/>
        <w:overflowPunct/>
        <w:topLinePunct w:val="0"/>
        <w:autoSpaceDE/>
        <w:autoSpaceDN/>
        <w:bidi w:val="0"/>
        <w:adjustRightInd/>
        <w:snapToGrid/>
        <w:spacing w:before="157" w:beforeLines="50" w:after="120" w:line="240" w:lineRule="auto"/>
        <w:ind w:left="0" w:leftChars="0" w:firstLine="480"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其他：合同期内，服务商根据医联体检验中心的发展需求提供标本转让运输所需设施、工具支持等。</w:t>
      </w:r>
    </w:p>
    <w:p>
      <w:pPr>
        <w:pStyle w:val="3"/>
        <w:pageBreakBefore w:val="0"/>
        <w:widowControl w:val="0"/>
        <w:numPr>
          <w:ilvl w:val="0"/>
          <w:numId w:val="4"/>
        </w:numPr>
        <w:kinsoku/>
        <w:overflowPunct/>
        <w:topLinePunct w:val="0"/>
        <w:autoSpaceDE/>
        <w:autoSpaceDN/>
        <w:bidi w:val="0"/>
        <w:spacing w:before="157" w:beforeLines="50" w:after="120" w:line="240" w:lineRule="auto"/>
        <w:ind w:left="567" w:leftChars="0"/>
        <w:textAlignment w:val="auto"/>
        <w:rPr>
          <w:rFonts w:hint="default" w:ascii="Times New Roman" w:hAnsi="Times New Roman" w:eastAsia="方正仿宋_GBK" w:cs="Times New Roman"/>
          <w:b/>
          <w:bCs/>
          <w:sz w:val="24"/>
          <w:szCs w:val="24"/>
          <w:highlight w:val="none"/>
          <w:lang w:eastAsia="zh-CN"/>
        </w:rPr>
      </w:pPr>
      <w:r>
        <w:rPr>
          <w:rFonts w:hint="default" w:ascii="Times New Roman" w:hAnsi="Times New Roman" w:eastAsia="方正仿宋_GBK" w:cs="Times New Roman"/>
          <w:b/>
          <w:bCs/>
          <w:sz w:val="24"/>
          <w:szCs w:val="24"/>
          <w:highlight w:val="none"/>
          <w:lang w:val="en-US" w:eastAsia="zh-CN"/>
        </w:rPr>
        <w:t>详细</w:t>
      </w:r>
      <w:r>
        <w:rPr>
          <w:rFonts w:hint="default" w:ascii="Times New Roman" w:hAnsi="Times New Roman" w:eastAsia="方正仿宋_GBK" w:cs="Times New Roman"/>
          <w:b/>
          <w:bCs/>
          <w:sz w:val="24"/>
          <w:szCs w:val="24"/>
          <w:highlight w:val="none"/>
          <w:lang w:eastAsia="zh-CN"/>
        </w:rPr>
        <w:t>服务要求</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line="240" w:lineRule="auto"/>
        <w:ind w:left="0" w:leftChars="0" w:firstLine="482"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bCs/>
          <w:kern w:val="2"/>
          <w:sz w:val="24"/>
          <w:szCs w:val="24"/>
          <w:lang w:val="en-US" w:eastAsia="zh-CN" w:bidi="ar-SA"/>
        </w:rPr>
        <w:t>1．</w:t>
      </w:r>
      <w:r>
        <w:rPr>
          <w:rFonts w:hint="default" w:ascii="Times New Roman" w:hAnsi="Times New Roman" w:eastAsia="方正仿宋_GBK" w:cs="Times New Roman"/>
          <w:b w:val="0"/>
          <w:bCs w:val="0"/>
          <w:sz w:val="24"/>
          <w:szCs w:val="24"/>
          <w:highlight w:val="none"/>
          <w:lang w:val="en-US" w:eastAsia="zh-CN"/>
        </w:rPr>
        <w:t>负责搭建区域医学检验中心平台，对医联体检验中心实验室及区域内医疗机构提供标本物流转运等标准服务；</w:t>
      </w:r>
    </w:p>
    <w:p>
      <w:pPr>
        <w:pStyle w:val="3"/>
        <w:keepNext w:val="0"/>
        <w:keepLines w:val="0"/>
        <w:pageBreakBefore w:val="0"/>
        <w:widowControl w:val="0"/>
        <w:numPr>
          <w:ilvl w:val="0"/>
          <w:numId w:val="5"/>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服务商负责平台建设所需的系统、软硬件设备、平台的日常运营管理、信息系统建设和维护、检验标本的冷链运输等；</w:t>
      </w:r>
    </w:p>
    <w:p>
      <w:pPr>
        <w:pStyle w:val="3"/>
        <w:keepNext w:val="0"/>
        <w:keepLines w:val="0"/>
        <w:pageBreakBefore w:val="0"/>
        <w:widowControl w:val="0"/>
        <w:numPr>
          <w:ilvl w:val="0"/>
          <w:numId w:val="5"/>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服务商需根据自身的项目建设方案配置冷链车辆及服务人员，以满足检验业务发展需求。</w:t>
      </w:r>
    </w:p>
    <w:p>
      <w:pPr>
        <w:pStyle w:val="3"/>
        <w:keepNext w:val="0"/>
        <w:keepLines w:val="0"/>
        <w:pageBreakBefore w:val="0"/>
        <w:widowControl w:val="0"/>
        <w:numPr>
          <w:ilvl w:val="0"/>
          <w:numId w:val="5"/>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服务商物流运输团队具有的GPS卫星定位系统能掌握所有车辆运行轨迹和标本运输时间，如遇特殊情况需要临时调度车辆的可通过GPS调动最近距离的车辆保证标本的及时送检。</w:t>
      </w:r>
    </w:p>
    <w:p>
      <w:pPr>
        <w:pStyle w:val="3"/>
        <w:keepNext w:val="0"/>
        <w:keepLines w:val="0"/>
        <w:pageBreakBefore w:val="0"/>
        <w:widowControl w:val="0"/>
        <w:numPr>
          <w:ilvl w:val="0"/>
          <w:numId w:val="5"/>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样本接收时间：按照医院要求，对区域检验中心所有医院提供约定时间内的样本接收服务，每天每个协议服务点1次，每个服务点加急转运次数为每月5次</w:t>
      </w:r>
      <w:r>
        <w:rPr>
          <w:rFonts w:hint="eastAsia" w:ascii="Times New Roman" w:hAnsi="Times New Roman" w:eastAsia="方正仿宋_GBK" w:cs="Times New Roman"/>
          <w:b w:val="0"/>
          <w:bCs w:val="0"/>
          <w:sz w:val="24"/>
          <w:szCs w:val="24"/>
          <w:highlight w:val="none"/>
          <w:lang w:val="en-US" w:eastAsia="zh-CN"/>
        </w:rPr>
        <w:t>（常规次数）。</w:t>
      </w:r>
      <w:r>
        <w:rPr>
          <w:rFonts w:hint="default" w:ascii="Times New Roman" w:hAnsi="Times New Roman" w:eastAsia="方正仿宋_GBK" w:cs="Times New Roman"/>
          <w:b w:val="0"/>
          <w:bCs w:val="0"/>
          <w:sz w:val="24"/>
          <w:szCs w:val="24"/>
          <w:highlight w:val="none"/>
          <w:lang w:val="en-US" w:eastAsia="zh-CN"/>
        </w:rPr>
        <w:t>超过</w:t>
      </w:r>
      <w:r>
        <w:rPr>
          <w:rFonts w:hint="eastAsia" w:ascii="Times New Roman" w:hAnsi="Times New Roman" w:eastAsia="方正仿宋_GBK" w:cs="Times New Roman"/>
          <w:b w:val="0"/>
          <w:bCs w:val="0"/>
          <w:sz w:val="24"/>
          <w:szCs w:val="24"/>
          <w:highlight w:val="none"/>
          <w:lang w:val="en-US" w:eastAsia="zh-CN"/>
        </w:rPr>
        <w:t>常规</w:t>
      </w:r>
      <w:r>
        <w:rPr>
          <w:rFonts w:hint="default" w:ascii="Times New Roman" w:hAnsi="Times New Roman" w:eastAsia="方正仿宋_GBK" w:cs="Times New Roman"/>
          <w:b w:val="0"/>
          <w:bCs w:val="0"/>
          <w:sz w:val="24"/>
          <w:szCs w:val="24"/>
          <w:highlight w:val="none"/>
          <w:lang w:val="en-US" w:eastAsia="zh-CN"/>
        </w:rPr>
        <w:t>次数</w:t>
      </w:r>
      <w:r>
        <w:rPr>
          <w:rFonts w:hint="eastAsia" w:ascii="Times New Roman" w:hAnsi="Times New Roman" w:eastAsia="方正仿宋_GBK" w:cs="Times New Roman"/>
          <w:b w:val="0"/>
          <w:bCs w:val="0"/>
          <w:sz w:val="24"/>
          <w:szCs w:val="24"/>
          <w:highlight w:val="none"/>
          <w:lang w:val="en-US" w:eastAsia="zh-CN"/>
        </w:rPr>
        <w:t>费用另行</w:t>
      </w:r>
      <w:r>
        <w:rPr>
          <w:rFonts w:hint="default" w:ascii="Times New Roman" w:hAnsi="Times New Roman" w:eastAsia="方正仿宋_GBK" w:cs="Times New Roman"/>
          <w:b w:val="0"/>
          <w:bCs w:val="0"/>
          <w:sz w:val="24"/>
          <w:szCs w:val="24"/>
          <w:highlight w:val="none"/>
          <w:lang w:val="en-US" w:eastAsia="zh-CN"/>
        </w:rPr>
        <w:t>收取。</w:t>
      </w:r>
    </w:p>
    <w:p>
      <w:pPr>
        <w:pStyle w:val="3"/>
        <w:keepNext w:val="0"/>
        <w:keepLines w:val="0"/>
        <w:pageBreakBefore w:val="0"/>
        <w:widowControl w:val="0"/>
        <w:numPr>
          <w:ilvl w:val="0"/>
          <w:numId w:val="5"/>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标本核收：为医院提供经系统培训且考核通过的专业服务人员，负责院方日常外送样本的接收及标本的前处理工作。配备专业的温控样本接收箱，严格按照《检验前管理程序》及SOP(标准操作规程)的标准，确保分析前的质量。</w:t>
      </w:r>
    </w:p>
    <w:p>
      <w:pPr>
        <w:pStyle w:val="3"/>
        <w:keepNext w:val="0"/>
        <w:keepLines w:val="0"/>
        <w:pageBreakBefore w:val="0"/>
        <w:widowControl w:val="0"/>
        <w:numPr>
          <w:ilvl w:val="0"/>
          <w:numId w:val="5"/>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标本转运：按标本保存要求进行符合生物安全的冷链运输，保证标本的可靠性和有效性。</w:t>
      </w:r>
    </w:p>
    <w:p>
      <w:pPr>
        <w:pStyle w:val="3"/>
        <w:keepNext w:val="0"/>
        <w:keepLines w:val="0"/>
        <w:pageBreakBefore w:val="0"/>
        <w:widowControl w:val="0"/>
        <w:numPr>
          <w:ilvl w:val="0"/>
          <w:numId w:val="5"/>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运输器具及人员消毒：运输用标本箱、运输车辆及人员按国家规定相关要求进行消毒处理。</w:t>
      </w:r>
    </w:p>
    <w:p>
      <w:pPr>
        <w:pStyle w:val="3"/>
        <w:keepNext w:val="0"/>
        <w:keepLines w:val="0"/>
        <w:pageBreakBefore w:val="0"/>
        <w:widowControl w:val="0"/>
        <w:numPr>
          <w:ilvl w:val="0"/>
          <w:numId w:val="5"/>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物流应急方案：合作方应建立完善的应急预案机制，针对突发事件如自然灾害、重特大事故及人为破坏等可能造成的人员伤亡、标本意外、信息中断等实施分等级应急管理与救援计划，以实现强有力的应急救援保障体系。</w:t>
      </w:r>
    </w:p>
    <w:p>
      <w:pPr>
        <w:pStyle w:val="3"/>
        <w:keepNext w:val="0"/>
        <w:keepLines w:val="0"/>
        <w:pageBreakBefore w:val="0"/>
        <w:widowControl w:val="0"/>
        <w:numPr>
          <w:ilvl w:val="0"/>
          <w:numId w:val="5"/>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标本绿色通道：当出现紧急标本需要送检时，应启动物流绿色通道，完成标本的转运。</w:t>
      </w:r>
    </w:p>
    <w:p>
      <w:pPr>
        <w:pStyle w:val="3"/>
        <w:keepNext w:val="0"/>
        <w:keepLines w:val="0"/>
        <w:pageBreakBefore w:val="0"/>
        <w:widowControl w:val="0"/>
        <w:numPr>
          <w:ilvl w:val="0"/>
          <w:numId w:val="5"/>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报告单发放紧急预案：遇到实验室LIS 系统出现瘫痪或电信网络传输故障时，应启动紧急预案，使用内部网络将报告生成PDF 数据格式，结合实际情况采用传真、人工递送等方式确保报告单能及时到达区域医院。</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line="240" w:lineRule="auto"/>
        <w:ind w:left="0" w:leftChars="0" w:firstLine="482" w:firstLineChars="200"/>
        <w:textAlignment w:val="auto"/>
        <w:rPr>
          <w:rFonts w:hint="default" w:ascii="Times New Roman" w:hAnsi="Times New Roman" w:eastAsia="方正仿宋_GBK" w:cs="Times New Roman"/>
          <w:b/>
          <w:bCs/>
          <w:sz w:val="24"/>
          <w:szCs w:val="24"/>
          <w:highlight w:val="none"/>
          <w:lang w:val="en-US" w:eastAsia="zh-CN"/>
        </w:rPr>
      </w:pPr>
      <w:r>
        <w:rPr>
          <w:rFonts w:hint="default" w:ascii="Times New Roman" w:hAnsi="Times New Roman" w:eastAsia="方正仿宋_GBK" w:cs="Times New Roman"/>
          <w:b/>
          <w:bCs/>
          <w:kern w:val="2"/>
          <w:sz w:val="24"/>
          <w:szCs w:val="24"/>
          <w:lang w:val="en-US" w:eastAsia="zh-CN" w:bidi="ar-SA"/>
        </w:rPr>
        <w:t>2．</w:t>
      </w:r>
      <w:r>
        <w:rPr>
          <w:rFonts w:hint="default" w:ascii="Times New Roman" w:hAnsi="Times New Roman" w:eastAsia="方正仿宋_GBK" w:cs="Times New Roman"/>
          <w:b w:val="0"/>
          <w:bCs w:val="0"/>
          <w:sz w:val="24"/>
          <w:szCs w:val="24"/>
          <w:highlight w:val="none"/>
          <w:lang w:val="en-US" w:eastAsia="zh-CN"/>
        </w:rPr>
        <w:t>根据医联体检验中心的发展及临床需要，提供信息化系统服务；</w:t>
      </w:r>
    </w:p>
    <w:p>
      <w:pPr>
        <w:pStyle w:val="3"/>
        <w:keepNext w:val="0"/>
        <w:keepLines w:val="0"/>
        <w:pageBreakBefore w:val="0"/>
        <w:widowControl w:val="0"/>
        <w:numPr>
          <w:ilvl w:val="0"/>
          <w:numId w:val="6"/>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服务商需负责配置高品质信息系统，进而满足医联体检验中心发展需求，完善实验室流程优化、结果传输等功能；</w:t>
      </w:r>
    </w:p>
    <w:p>
      <w:pPr>
        <w:pStyle w:val="3"/>
        <w:keepNext w:val="0"/>
        <w:keepLines w:val="0"/>
        <w:pageBreakBefore w:val="0"/>
        <w:widowControl w:val="0"/>
        <w:numPr>
          <w:ilvl w:val="0"/>
          <w:numId w:val="6"/>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服务商需提供实验室管理信息系统，搭建区域检验信息共享平台，并免费配置到区域医疗机构各医疗机构，进而实现检验结果的异地同步传输功能，并提供后续的升级服务。</w:t>
      </w:r>
    </w:p>
    <w:p>
      <w:pPr>
        <w:pStyle w:val="3"/>
        <w:keepNext w:val="0"/>
        <w:keepLines w:val="0"/>
        <w:pageBreakBefore w:val="0"/>
        <w:widowControl w:val="0"/>
        <w:numPr>
          <w:ilvl w:val="0"/>
          <w:numId w:val="6"/>
        </w:numPr>
        <w:kinsoku/>
        <w:wordWrap/>
        <w:overflowPunct/>
        <w:topLinePunct w:val="0"/>
        <w:autoSpaceDE/>
        <w:autoSpaceDN/>
        <w:bidi w:val="0"/>
        <w:adjustRightInd/>
        <w:snapToGrid/>
        <w:spacing w:before="157" w:beforeLines="50" w:after="120" w:line="240" w:lineRule="auto"/>
        <w:ind w:left="454" w:leftChars="0" w:firstLine="113" w:firstLineChars="0"/>
        <w:jc w:val="both"/>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val="0"/>
          <w:bCs w:val="0"/>
          <w:sz w:val="24"/>
          <w:szCs w:val="24"/>
          <w:highlight w:val="none"/>
          <w:lang w:val="en-US" w:eastAsia="zh-CN"/>
        </w:rPr>
        <w:t>服务商负责搭建区域检验信息共享平台，实现与采购人现有区域医疗机构以及后续签约的区域医疗机构的网路信息共享，结果互认。</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line="240" w:lineRule="auto"/>
        <w:ind w:left="0" w:leftChars="0" w:firstLine="482"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bCs/>
          <w:kern w:val="2"/>
          <w:sz w:val="24"/>
          <w:szCs w:val="24"/>
          <w:lang w:val="en-US" w:eastAsia="zh-CN" w:bidi="ar-SA"/>
        </w:rPr>
        <w:t>3．</w:t>
      </w:r>
      <w:r>
        <w:rPr>
          <w:rFonts w:hint="default" w:ascii="Times New Roman" w:hAnsi="Times New Roman" w:eastAsia="方正仿宋_GBK" w:cs="Times New Roman"/>
          <w:b w:val="0"/>
          <w:bCs w:val="0"/>
          <w:sz w:val="24"/>
          <w:szCs w:val="24"/>
          <w:highlight w:val="none"/>
          <w:lang w:val="en-US" w:eastAsia="zh-CN"/>
        </w:rPr>
        <w:t>负责协助新区检验质控中心建设基层医生学习中心，组织中心专家到基层医疗机构培训指导及合作单位的基层医生到甲方进行检验医疗技术的培训，提升基层医生自身医疗水平；</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line="240" w:lineRule="auto"/>
        <w:ind w:left="0" w:leftChars="0" w:firstLine="482"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bCs/>
          <w:kern w:val="2"/>
          <w:sz w:val="24"/>
          <w:szCs w:val="24"/>
          <w:lang w:val="en-US" w:eastAsia="zh-CN" w:bidi="ar-SA"/>
        </w:rPr>
        <w:t>4．</w:t>
      </w:r>
      <w:r>
        <w:rPr>
          <w:rFonts w:hint="default" w:ascii="Times New Roman" w:hAnsi="Times New Roman" w:eastAsia="方正仿宋_GBK" w:cs="Times New Roman"/>
          <w:b w:val="0"/>
          <w:bCs w:val="0"/>
          <w:sz w:val="24"/>
          <w:szCs w:val="24"/>
          <w:highlight w:val="none"/>
          <w:lang w:val="en-US" w:eastAsia="zh-CN"/>
        </w:rPr>
        <w:t>应自协议签订起一个月内完成区域检验中心平台的建设，并负责检验中心的软硬件设备及系统的供应支持，负责提供对系统的使用(包含登记、上传检测结果、预约核对等)等培训；</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line="240" w:lineRule="auto"/>
        <w:ind w:left="0" w:leftChars="0" w:firstLine="482"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bCs/>
          <w:kern w:val="2"/>
          <w:sz w:val="24"/>
          <w:szCs w:val="24"/>
          <w:lang w:val="en-US" w:eastAsia="zh-CN" w:bidi="ar-SA"/>
        </w:rPr>
        <w:t>5．</w:t>
      </w:r>
      <w:r>
        <w:rPr>
          <w:rFonts w:hint="default" w:ascii="Times New Roman" w:hAnsi="Times New Roman" w:eastAsia="方正仿宋_GBK" w:cs="Times New Roman"/>
          <w:b w:val="0"/>
          <w:bCs w:val="0"/>
          <w:sz w:val="24"/>
          <w:szCs w:val="24"/>
          <w:highlight w:val="none"/>
          <w:lang w:val="en-US" w:eastAsia="zh-CN"/>
        </w:rPr>
        <w:t>协助或配合处理所有有关区域检验中心建设、运营、管理的检查、投诉与纠纷。</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line="240" w:lineRule="auto"/>
        <w:ind w:left="0" w:leftChars="0" w:firstLine="482"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bCs/>
          <w:kern w:val="2"/>
          <w:sz w:val="24"/>
          <w:szCs w:val="24"/>
          <w:lang w:val="en-US" w:eastAsia="zh-CN" w:bidi="ar-SA"/>
        </w:rPr>
        <w:t>6．</w:t>
      </w:r>
      <w:r>
        <w:rPr>
          <w:rFonts w:hint="default" w:ascii="Times New Roman" w:hAnsi="Times New Roman" w:eastAsia="方正仿宋_GBK" w:cs="Times New Roman"/>
          <w:b w:val="0"/>
          <w:bCs w:val="0"/>
          <w:sz w:val="24"/>
          <w:szCs w:val="24"/>
          <w:highlight w:val="none"/>
          <w:lang w:val="en-US" w:eastAsia="zh-CN"/>
        </w:rPr>
        <w:t>在协议有效期内，应对其工作人员的安全负责，若发生人身、财产和安全责任事故，自行承担一切费用和善后问题的处理及其全部责任。</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line="240" w:lineRule="auto"/>
        <w:ind w:left="0" w:leftChars="0" w:firstLine="482"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bCs/>
          <w:kern w:val="2"/>
          <w:sz w:val="24"/>
          <w:szCs w:val="24"/>
          <w:lang w:val="en-US" w:eastAsia="zh-CN" w:bidi="ar-SA"/>
        </w:rPr>
        <w:t>7．</w:t>
      </w:r>
      <w:r>
        <w:rPr>
          <w:rFonts w:hint="default" w:ascii="Times New Roman" w:hAnsi="Times New Roman" w:eastAsia="方正仿宋_GBK" w:cs="Times New Roman"/>
          <w:b w:val="0"/>
          <w:bCs w:val="0"/>
          <w:sz w:val="24"/>
          <w:szCs w:val="24"/>
          <w:highlight w:val="none"/>
          <w:lang w:val="en-US" w:eastAsia="zh-CN"/>
        </w:rPr>
        <w:t>服务商负责项目开展需要的信息系统对接等软件工程以及后续系统升级维护等，确保系统正常运作。</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line="240" w:lineRule="auto"/>
        <w:ind w:left="0" w:leftChars="0" w:firstLine="482" w:firstLineChars="200"/>
        <w:textAlignment w:val="auto"/>
        <w:rPr>
          <w:rFonts w:hint="default" w:ascii="Times New Roman" w:hAnsi="Times New Roman" w:eastAsia="方正仿宋_GBK" w:cs="Times New Roman"/>
          <w:b w:val="0"/>
          <w:bCs w:val="0"/>
          <w:sz w:val="24"/>
          <w:szCs w:val="24"/>
          <w:highlight w:val="none"/>
          <w:lang w:val="en-US" w:eastAsia="zh-CN"/>
        </w:rPr>
      </w:pPr>
      <w:r>
        <w:rPr>
          <w:rFonts w:hint="default" w:ascii="Times New Roman" w:hAnsi="Times New Roman" w:eastAsia="方正仿宋_GBK" w:cs="Times New Roman"/>
          <w:b/>
          <w:bCs/>
          <w:kern w:val="2"/>
          <w:sz w:val="24"/>
          <w:szCs w:val="24"/>
          <w:lang w:val="en-US" w:eastAsia="zh-CN" w:bidi="ar-SA"/>
        </w:rPr>
        <w:t>8．</w:t>
      </w:r>
      <w:r>
        <w:rPr>
          <w:rFonts w:hint="default" w:ascii="Times New Roman" w:hAnsi="Times New Roman" w:eastAsia="方正仿宋_GBK" w:cs="Times New Roman"/>
          <w:b w:val="0"/>
          <w:bCs w:val="0"/>
          <w:sz w:val="24"/>
          <w:szCs w:val="24"/>
          <w:highlight w:val="none"/>
          <w:lang w:val="en-US" w:eastAsia="zh-CN"/>
        </w:rPr>
        <w:t>协助医学检验科进行ISO15189认可的实施，保证实验室能持续按照质量体系要求规范流程执行。</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57" w:beforeLines="50" w:after="120" w:line="240" w:lineRule="auto"/>
        <w:ind w:left="0" w:leftChars="0" w:firstLine="482" w:firstLineChars="200"/>
        <w:textAlignment w:val="auto"/>
        <w:rPr>
          <w:rFonts w:hint="default" w:ascii="Times New Roman" w:hAnsi="Times New Roman" w:eastAsia="方正仿宋_GBK" w:cs="Times New Roman"/>
          <w:b w:val="0"/>
          <w:bCs/>
          <w:sz w:val="24"/>
          <w:szCs w:val="24"/>
          <w:highlight w:val="none"/>
          <w:lang w:val="en-US" w:eastAsia="zh-CN"/>
        </w:rPr>
      </w:pPr>
      <w:r>
        <w:rPr>
          <w:rFonts w:hint="default" w:ascii="Times New Roman" w:hAnsi="Times New Roman" w:eastAsia="方正仿宋_GBK" w:cs="Times New Roman"/>
          <w:b/>
          <w:bCs/>
          <w:kern w:val="2"/>
          <w:sz w:val="24"/>
          <w:szCs w:val="24"/>
          <w:lang w:val="en-US" w:eastAsia="zh-CN" w:bidi="ar-SA"/>
        </w:rPr>
        <w:t>9．</w:t>
      </w:r>
      <w:r>
        <w:rPr>
          <w:rFonts w:hint="default" w:ascii="Times New Roman" w:hAnsi="Times New Roman" w:eastAsia="方正仿宋_GBK" w:cs="Times New Roman"/>
          <w:b w:val="0"/>
          <w:bCs w:val="0"/>
          <w:sz w:val="24"/>
          <w:szCs w:val="24"/>
          <w:highlight w:val="none"/>
          <w:lang w:val="en-US" w:eastAsia="zh-CN"/>
        </w:rPr>
        <w:t>其他服务：合同期内，服务商根据医联体检验中心的发展需求提供标本转让运输所需设施、工具支持等情况。</w:t>
      </w:r>
    </w:p>
    <w:p>
      <w:pPr>
        <w:pStyle w:val="3"/>
        <w:keepNext w:val="0"/>
        <w:keepLines w:val="0"/>
        <w:pageBreakBefore w:val="0"/>
        <w:widowControl w:val="0"/>
        <w:numPr>
          <w:ilvl w:val="0"/>
          <w:numId w:val="1"/>
        </w:numPr>
        <w:kinsoku/>
        <w:wordWrap/>
        <w:overflowPunct/>
        <w:topLinePunct w:val="0"/>
        <w:autoSpaceDE/>
        <w:autoSpaceDN/>
        <w:bidi w:val="0"/>
        <w:adjustRightInd/>
        <w:snapToGrid/>
        <w:spacing w:before="157" w:beforeLines="50" w:after="120" w:line="240" w:lineRule="auto"/>
        <w:ind w:left="0" w:leftChars="0" w:firstLine="561" w:firstLineChars="0"/>
        <w:textAlignment w:val="auto"/>
        <w:rPr>
          <w:rFonts w:hint="default" w:ascii="Times New Roman" w:hAnsi="Times New Roman" w:eastAsia="方正仿宋_GBK" w:cs="Times New Roman"/>
          <w:b/>
          <w:sz w:val="24"/>
          <w:szCs w:val="24"/>
          <w:highlight w:val="none"/>
          <w:lang w:val="en-US" w:eastAsia="zh-CN"/>
        </w:rPr>
      </w:pPr>
      <w:r>
        <w:rPr>
          <w:rFonts w:hint="default" w:ascii="Times New Roman" w:hAnsi="Times New Roman" w:eastAsia="方正仿宋_GBK" w:cs="Times New Roman"/>
          <w:b/>
          <w:sz w:val="24"/>
          <w:szCs w:val="24"/>
          <w:highlight w:val="none"/>
          <w:lang w:val="en-US" w:eastAsia="zh-CN"/>
        </w:rPr>
        <w:t>服务期限、地点及验收方式</w:t>
      </w:r>
    </w:p>
    <w:p>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1.服务期限：本项目服务年限2年</w:t>
      </w:r>
      <w:r>
        <w:rPr>
          <w:rFonts w:hint="eastAsia" w:ascii="Times New Roman" w:hAnsi="Times New Roman" w:eastAsia="方正仿宋_GBK" w:cs="Times New Roman"/>
          <w:sz w:val="24"/>
          <w:szCs w:val="24"/>
          <w:highlight w:val="none"/>
          <w:lang w:val="en-US" w:eastAsia="zh-CN"/>
        </w:rPr>
        <w:t>内有效</w:t>
      </w:r>
      <w:r>
        <w:rPr>
          <w:rFonts w:hint="default" w:ascii="Times New Roman" w:hAnsi="Times New Roman" w:eastAsia="方正仿宋_GBK" w:cs="Times New Roman"/>
          <w:sz w:val="24"/>
          <w:szCs w:val="24"/>
          <w:highlight w:val="none"/>
          <w:lang w:val="en-US" w:eastAsia="zh-CN"/>
        </w:rPr>
        <w:t>，合同一年一考核，一年一签。</w:t>
      </w:r>
    </w:p>
    <w:p>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2.交付（实施）时间：协议签订起一个月内完成区域检验中心平台建设。</w:t>
      </w:r>
    </w:p>
    <w:p>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 xml:space="preserve">3.交付（实施）的地点：采购人指定地点。     </w:t>
      </w:r>
    </w:p>
    <w:p>
      <w:pPr>
        <w:pStyle w:val="3"/>
        <w:pageBreakBefore w:val="0"/>
        <w:widowControl w:val="0"/>
        <w:kinsoku/>
        <w:overflowPunct/>
        <w:topLinePunct w:val="0"/>
        <w:autoSpaceDE/>
        <w:autoSpaceDN/>
        <w:bidi w:val="0"/>
        <w:spacing w:before="157" w:beforeLines="50" w:after="120" w:line="240" w:lineRule="auto"/>
        <w:ind w:firstLine="48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4.售后服务要求：2小时响应，24小时之内派人到场。</w:t>
      </w:r>
    </w:p>
    <w:p>
      <w:pPr>
        <w:pStyle w:val="3"/>
        <w:pageBreakBefore w:val="0"/>
        <w:widowControl w:val="0"/>
        <w:numPr>
          <w:ilvl w:val="0"/>
          <w:numId w:val="0"/>
        </w:numPr>
        <w:kinsoku/>
        <w:overflowPunct/>
        <w:topLinePunct w:val="0"/>
        <w:autoSpaceDE/>
        <w:autoSpaceDN/>
        <w:bidi w:val="0"/>
        <w:spacing w:before="157" w:beforeLines="50" w:after="120" w:line="240" w:lineRule="auto"/>
        <w:ind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5.履约验收：</w:t>
      </w:r>
    </w:p>
    <w:p>
      <w:pPr>
        <w:pStyle w:val="3"/>
        <w:pageBreakBefore w:val="0"/>
        <w:widowControl w:val="0"/>
        <w:numPr>
          <w:ilvl w:val="0"/>
          <w:numId w:val="7"/>
        </w:numPr>
        <w:kinsoku/>
        <w:overflowPunct/>
        <w:topLinePunct w:val="0"/>
        <w:autoSpaceDE/>
        <w:autoSpaceDN/>
        <w:bidi w:val="0"/>
        <w:spacing w:before="157" w:beforeLines="50" w:after="120" w:line="240" w:lineRule="auto"/>
        <w:ind w:left="454" w:leftChars="0" w:firstLine="113" w:firstLineChars="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验收主体：采购人（重庆两江新区人民医院）。</w:t>
      </w:r>
    </w:p>
    <w:p>
      <w:pPr>
        <w:pStyle w:val="3"/>
        <w:pageBreakBefore w:val="0"/>
        <w:widowControl w:val="0"/>
        <w:numPr>
          <w:ilvl w:val="0"/>
          <w:numId w:val="7"/>
        </w:numPr>
        <w:kinsoku/>
        <w:overflowPunct/>
        <w:topLinePunct w:val="0"/>
        <w:autoSpaceDE/>
        <w:autoSpaceDN/>
        <w:bidi w:val="0"/>
        <w:spacing w:before="157" w:beforeLines="50" w:after="120" w:line="240" w:lineRule="auto"/>
        <w:ind w:left="454" w:leftChars="0" w:firstLine="113" w:firstLineChars="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验收时间：协议签订起一个月内。</w:t>
      </w:r>
    </w:p>
    <w:p>
      <w:pPr>
        <w:pStyle w:val="3"/>
        <w:pageBreakBefore w:val="0"/>
        <w:widowControl w:val="0"/>
        <w:numPr>
          <w:ilvl w:val="0"/>
          <w:numId w:val="7"/>
        </w:numPr>
        <w:kinsoku/>
        <w:overflowPunct/>
        <w:topLinePunct w:val="0"/>
        <w:autoSpaceDE/>
        <w:autoSpaceDN/>
        <w:bidi w:val="0"/>
        <w:spacing w:before="157" w:beforeLines="50" w:after="120" w:line="240" w:lineRule="auto"/>
        <w:ind w:left="454" w:leftChars="0" w:firstLine="113" w:firstLineChars="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验收内容及标准：应自协议签订起一个月内完成区域检验中心平台的建设，并负责检验中心的软硬件设备及系统的供应支持，负责提供对系统的使用(包含登记、上传检测结果、预约核对等)等培训；</w:t>
      </w:r>
    </w:p>
    <w:p>
      <w:pPr>
        <w:pStyle w:val="3"/>
        <w:pageBreakBefore w:val="0"/>
        <w:widowControl w:val="0"/>
        <w:numPr>
          <w:ilvl w:val="0"/>
          <w:numId w:val="0"/>
        </w:numPr>
        <w:kinsoku/>
        <w:overflowPunct/>
        <w:topLinePunct w:val="0"/>
        <w:autoSpaceDE/>
        <w:autoSpaceDN/>
        <w:bidi w:val="0"/>
        <w:spacing w:before="157" w:beforeLines="50" w:after="120" w:line="240" w:lineRule="auto"/>
        <w:ind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6.服务期满后项目涉及的所有技术和软件的知识产权归属，由中标人和采购人在合同中约定或服务期满时协商处理。</w:t>
      </w:r>
    </w:p>
    <w:p>
      <w:pPr>
        <w:pStyle w:val="3"/>
        <w:pageBreakBefore w:val="0"/>
        <w:widowControl w:val="0"/>
        <w:numPr>
          <w:ilvl w:val="0"/>
          <w:numId w:val="0"/>
        </w:numPr>
        <w:kinsoku/>
        <w:overflowPunct/>
        <w:topLinePunct w:val="0"/>
        <w:autoSpaceDE/>
        <w:autoSpaceDN/>
        <w:bidi w:val="0"/>
        <w:spacing w:before="157" w:beforeLines="50" w:after="120" w:line="240" w:lineRule="auto"/>
        <w:ind w:firstLine="480" w:firstLineChars="200"/>
        <w:textAlignment w:val="auto"/>
        <w:rPr>
          <w:rFonts w:hint="default" w:ascii="Times New Roman" w:hAnsi="Times New Roman" w:eastAsia="方正仿宋_GBK" w:cs="Times New Roman"/>
          <w:sz w:val="24"/>
          <w:szCs w:val="24"/>
          <w:highlight w:val="none"/>
          <w:lang w:val="en-US" w:eastAsia="zh-CN"/>
        </w:rPr>
      </w:pPr>
      <w:r>
        <w:rPr>
          <w:rFonts w:hint="default" w:ascii="Times New Roman" w:hAnsi="Times New Roman" w:eastAsia="方正仿宋_GBK" w:cs="Times New Roman"/>
          <w:sz w:val="24"/>
          <w:szCs w:val="24"/>
          <w:highlight w:val="none"/>
          <w:lang w:val="en-US" w:eastAsia="zh-CN"/>
        </w:rPr>
        <w:t>7.国家政策因素：服务商应充分考虑国家相关的政策变化因素，如遇本项工作与国家政策或新规不符，在政策范围内协商解决，若协商不成功，双方可解除合同，互不承担违约责任。</w:t>
      </w:r>
    </w:p>
    <w:p>
      <w:pPr>
        <w:pStyle w:val="2"/>
        <w:keepNext/>
        <w:keepLines/>
        <w:pageBreakBefore w:val="0"/>
        <w:widowControl w:val="0"/>
        <w:kinsoku/>
        <w:wordWrap/>
        <w:overflowPunct/>
        <w:topLinePunct w:val="0"/>
        <w:autoSpaceDE/>
        <w:autoSpaceDN/>
        <w:bidi w:val="0"/>
        <w:adjustRightInd w:val="0"/>
        <w:snapToGrid w:val="0"/>
        <w:spacing w:before="157" w:beforeLines="50" w:after="120" w:line="240" w:lineRule="auto"/>
        <w:ind w:firstLine="482" w:firstLineChars="20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b/>
          <w:kern w:val="2"/>
          <w:sz w:val="24"/>
          <w:szCs w:val="24"/>
          <w:highlight w:val="none"/>
          <w:lang w:val="en-US" w:eastAsia="zh-CN" w:bidi="ar-SA"/>
        </w:rPr>
        <w:t>五、联系方式</w:t>
      </w:r>
    </w:p>
    <w:p>
      <w:pPr>
        <w:pageBreakBefore w:val="0"/>
        <w:widowControl w:val="0"/>
        <w:kinsoku/>
        <w:wordWrap w:val="0"/>
        <w:overflowPunct/>
        <w:topLinePunct w:val="0"/>
        <w:autoSpaceDE/>
        <w:autoSpaceDN/>
        <w:bidi w:val="0"/>
        <w:spacing w:before="157" w:beforeLines="50" w:after="120" w:line="240" w:lineRule="auto"/>
        <w:ind w:firstLine="720" w:firstLineChars="300"/>
        <w:textAlignment w:val="auto"/>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sz w:val="24"/>
          <w:szCs w:val="24"/>
          <w:highlight w:val="none"/>
        </w:rPr>
        <w:t>采购人：重庆</w:t>
      </w:r>
      <w:r>
        <w:rPr>
          <w:rFonts w:hint="eastAsia" w:ascii="Times New Roman" w:hAnsi="Times New Roman" w:eastAsia="方正仿宋_GBK" w:cs="Times New Roman"/>
          <w:sz w:val="24"/>
          <w:szCs w:val="24"/>
          <w:highlight w:val="none"/>
          <w:lang w:val="en-US" w:eastAsia="zh-CN"/>
        </w:rPr>
        <w:t>市</w:t>
      </w:r>
      <w:r>
        <w:rPr>
          <w:rFonts w:hint="default" w:ascii="Times New Roman" w:hAnsi="Times New Roman" w:eastAsia="方正仿宋_GBK" w:cs="Times New Roman"/>
          <w:sz w:val="24"/>
          <w:szCs w:val="24"/>
          <w:highlight w:val="none"/>
        </w:rPr>
        <w:t xml:space="preserve">两江新区人民医院     </w:t>
      </w:r>
    </w:p>
    <w:p>
      <w:pPr>
        <w:pageBreakBefore w:val="0"/>
        <w:widowControl w:val="0"/>
        <w:kinsoku/>
        <w:wordWrap w:val="0"/>
        <w:overflowPunct/>
        <w:topLinePunct w:val="0"/>
        <w:autoSpaceDE/>
        <w:autoSpaceDN/>
        <w:bidi w:val="0"/>
        <w:spacing w:before="157" w:beforeLines="50" w:after="120" w:line="240" w:lineRule="auto"/>
        <w:ind w:firstLine="720" w:firstLineChars="300"/>
        <w:textAlignment w:val="auto"/>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sz w:val="24"/>
          <w:szCs w:val="24"/>
          <w:highlight w:val="none"/>
          <w:lang w:val="zh-CN"/>
        </w:rPr>
        <w:t>联系人：</w:t>
      </w:r>
      <w:r>
        <w:rPr>
          <w:rFonts w:hint="default" w:ascii="Times New Roman" w:hAnsi="Times New Roman" w:eastAsia="方正仿宋_GBK" w:cs="Times New Roman"/>
          <w:sz w:val="24"/>
          <w:szCs w:val="24"/>
          <w:highlight w:val="none"/>
        </w:rPr>
        <w:t xml:space="preserve">刘老师   </w:t>
      </w:r>
    </w:p>
    <w:p>
      <w:pPr>
        <w:pageBreakBefore w:val="0"/>
        <w:widowControl w:val="0"/>
        <w:kinsoku/>
        <w:wordWrap w:val="0"/>
        <w:overflowPunct/>
        <w:topLinePunct w:val="0"/>
        <w:autoSpaceDE/>
        <w:autoSpaceDN/>
        <w:bidi w:val="0"/>
        <w:spacing w:before="157" w:beforeLines="50" w:after="120" w:line="240" w:lineRule="auto"/>
        <w:ind w:firstLine="720" w:firstLineChars="300"/>
        <w:textAlignment w:val="auto"/>
        <w:rPr>
          <w:rFonts w:hint="default" w:ascii="Times New Roman" w:hAnsi="Times New Roman" w:eastAsia="方正仿宋_GBK" w:cs="Times New Roman"/>
          <w:sz w:val="24"/>
          <w:szCs w:val="24"/>
          <w:highlight w:val="none"/>
        </w:rPr>
      </w:pPr>
      <w:r>
        <w:rPr>
          <w:rFonts w:hint="default" w:ascii="Times New Roman" w:hAnsi="Times New Roman" w:eastAsia="方正仿宋_GBK" w:cs="Times New Roman"/>
          <w:sz w:val="24"/>
          <w:szCs w:val="24"/>
          <w:highlight w:val="none"/>
          <w:lang w:val="zh-CN"/>
        </w:rPr>
        <w:t>联系电话：</w:t>
      </w:r>
      <w:r>
        <w:rPr>
          <w:rFonts w:hint="default" w:ascii="Times New Roman" w:hAnsi="Times New Roman" w:eastAsia="方正仿宋_GBK" w:cs="Times New Roman"/>
          <w:sz w:val="24"/>
          <w:szCs w:val="24"/>
          <w:highlight w:val="none"/>
        </w:rPr>
        <w:t xml:space="preserve">023-86791518     </w:t>
      </w:r>
    </w:p>
    <w:p>
      <w:pPr>
        <w:pageBreakBefore w:val="0"/>
        <w:widowControl w:val="0"/>
        <w:kinsoku/>
        <w:wordWrap w:val="0"/>
        <w:overflowPunct/>
        <w:topLinePunct w:val="0"/>
        <w:autoSpaceDE/>
        <w:autoSpaceDN/>
        <w:bidi w:val="0"/>
        <w:spacing w:before="157" w:beforeLines="50" w:after="120" w:line="240" w:lineRule="auto"/>
        <w:ind w:firstLine="720" w:firstLineChars="300"/>
        <w:textAlignment w:val="auto"/>
        <w:rPr>
          <w:rFonts w:hint="default" w:ascii="Times New Roman" w:hAnsi="Times New Roman" w:eastAsia="方正仿宋_GBK" w:cs="Times New Roman"/>
          <w:sz w:val="22"/>
          <w:szCs w:val="22"/>
          <w:lang w:val="en-US" w:eastAsia="zh-CN"/>
        </w:rPr>
      </w:pPr>
      <w:r>
        <w:rPr>
          <w:rFonts w:hint="eastAsia" w:ascii="Times New Roman" w:hAnsi="Times New Roman" w:eastAsia="方正仿宋_GBK" w:cs="Times New Roman"/>
          <w:sz w:val="24"/>
          <w:szCs w:val="24"/>
          <w:highlight w:val="none"/>
          <w:lang w:val="en-US" w:eastAsia="zh-CN"/>
        </w:rPr>
        <w:t>联系时间：工作日上午8-12点  下午14点30-17点</w:t>
      </w:r>
      <w:r>
        <w:rPr>
          <w:rFonts w:hint="default" w:ascii="Times New Roman" w:hAnsi="Times New Roman" w:eastAsia="方正仿宋_GBK" w:cs="Times New Roman"/>
          <w:sz w:val="24"/>
          <w:szCs w:val="24"/>
          <w:highlight w:val="none"/>
          <w:lang w:val="zh-CN"/>
        </w:rPr>
        <w:t xml:space="preserve">    </w:t>
      </w:r>
    </w:p>
    <w:p>
      <w:pPr>
        <w:jc w:val="both"/>
        <w:rPr>
          <w:rFonts w:hint="default" w:ascii="Times New Roman" w:hAnsi="Times New Roman" w:eastAsia="方正仿宋_GBK" w:cs="Times New Roman"/>
          <w:sz w:val="22"/>
          <w:szCs w:val="22"/>
          <w:lang w:val="en-US" w:eastAsia="zh-CN"/>
        </w:rPr>
      </w:pPr>
    </w:p>
    <w:p>
      <w:pPr>
        <w:jc w:val="both"/>
        <w:rPr>
          <w:rFonts w:hint="default" w:ascii="Times New Roman" w:hAnsi="Times New Roman" w:eastAsia="方正仿宋_GBK" w:cs="Times New Roman"/>
          <w:sz w:val="22"/>
          <w:szCs w:val="22"/>
          <w:lang w:val="en-US" w:eastAsia="zh-CN"/>
        </w:rPr>
      </w:pPr>
    </w:p>
    <w:p>
      <w:pPr>
        <w:jc w:val="both"/>
        <w:rPr>
          <w:rFonts w:hint="default" w:ascii="Times New Roman" w:hAnsi="Times New Roman" w:eastAsia="方正仿宋_GBK" w:cs="Times New Roman"/>
          <w:sz w:val="22"/>
          <w:szCs w:val="22"/>
          <w:lang w:val="en-US" w:eastAsia="zh-CN"/>
        </w:rPr>
      </w:pPr>
    </w:p>
    <w:p>
      <w:pPr>
        <w:jc w:val="both"/>
        <w:rPr>
          <w:rFonts w:hint="default" w:ascii="Times New Roman" w:hAnsi="Times New Roman" w:eastAsia="方正仿宋_GBK" w:cs="Times New Roman"/>
          <w:sz w:val="22"/>
          <w:szCs w:val="22"/>
          <w:lang w:val="en-US" w:eastAsia="zh-CN"/>
        </w:rPr>
      </w:pPr>
    </w:p>
    <w:p>
      <w:pPr>
        <w:jc w:val="both"/>
        <w:rPr>
          <w:rFonts w:hint="eastAsia"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附件1：报价单</w:t>
      </w:r>
    </w:p>
    <w:p>
      <w:pPr>
        <w:jc w:val="both"/>
        <w:rPr>
          <w:rFonts w:hint="eastAsia" w:ascii="Times New Roman" w:hAnsi="Times New Roman" w:eastAsia="方正仿宋_GBK" w:cs="Times New Roman"/>
          <w:sz w:val="22"/>
          <w:szCs w:val="22"/>
          <w:lang w:val="en-US" w:eastAsia="zh-CN"/>
        </w:rPr>
      </w:pPr>
    </w:p>
    <w:tbl>
      <w:tblPr>
        <w:tblStyle w:val="6"/>
        <w:tblW w:w="92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4078"/>
        <w:gridCol w:w="763"/>
        <w:gridCol w:w="36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tcPr>
          <w:p>
            <w:pPr>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序号</w:t>
            </w:r>
          </w:p>
        </w:tc>
        <w:tc>
          <w:tcPr>
            <w:tcW w:w="4078" w:type="dxa"/>
          </w:tcPr>
          <w:p>
            <w:pPr>
              <w:jc w:val="both"/>
              <w:rPr>
                <w:rFonts w:hint="default" w:ascii="Times New Roman" w:hAnsi="Times New Roman" w:eastAsia="方正仿宋_GBK" w:cs="Times New Roman"/>
                <w:sz w:val="24"/>
                <w:szCs w:val="24"/>
                <w:vertAlign w:val="baseline"/>
                <w:lang w:val="en-US" w:eastAsia="zh-CN"/>
              </w:rPr>
            </w:pPr>
            <w:r>
              <w:rPr>
                <w:rFonts w:hint="default" w:ascii="Times New Roman" w:hAnsi="Times New Roman" w:eastAsia="方正仿宋_GBK" w:cs="Times New Roman"/>
                <w:sz w:val="24"/>
                <w:szCs w:val="24"/>
                <w:lang w:val="en-US" w:eastAsia="zh-CN"/>
              </w:rPr>
              <w:t>医联体检验中心</w:t>
            </w:r>
            <w:r>
              <w:rPr>
                <w:rFonts w:hint="eastAsia" w:ascii="Times New Roman" w:hAnsi="Times New Roman" w:eastAsia="方正仿宋_GBK" w:cs="Times New Roman"/>
                <w:sz w:val="24"/>
                <w:szCs w:val="24"/>
                <w:lang w:val="en-US" w:eastAsia="zh-CN"/>
              </w:rPr>
              <w:t>物流</w:t>
            </w:r>
            <w:r>
              <w:rPr>
                <w:rFonts w:hint="default" w:ascii="Times New Roman" w:hAnsi="Times New Roman" w:eastAsia="方正仿宋_GBK" w:cs="Times New Roman"/>
                <w:sz w:val="24"/>
                <w:szCs w:val="24"/>
                <w:lang w:val="en-US" w:eastAsia="zh-CN"/>
              </w:rPr>
              <w:t>服务</w:t>
            </w:r>
            <w:r>
              <w:rPr>
                <w:rFonts w:hint="eastAsia" w:ascii="Times New Roman" w:hAnsi="Times New Roman" w:eastAsia="方正仿宋_GBK" w:cs="Times New Roman"/>
                <w:sz w:val="24"/>
                <w:szCs w:val="24"/>
                <w:vertAlign w:val="baseline"/>
                <w:lang w:val="en-US" w:eastAsia="zh-CN"/>
              </w:rPr>
              <w:t>项目</w:t>
            </w:r>
          </w:p>
        </w:tc>
        <w:tc>
          <w:tcPr>
            <w:tcW w:w="763" w:type="dxa"/>
          </w:tcPr>
          <w:p>
            <w:pPr>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单位</w:t>
            </w:r>
          </w:p>
        </w:tc>
        <w:tc>
          <w:tcPr>
            <w:tcW w:w="3668" w:type="dxa"/>
          </w:tcPr>
          <w:p>
            <w:pPr>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报价（按物价收费报下浮率）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tcPr>
          <w:p>
            <w:pPr>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1</w:t>
            </w:r>
          </w:p>
        </w:tc>
        <w:tc>
          <w:tcPr>
            <w:tcW w:w="4078" w:type="dxa"/>
          </w:tcPr>
          <w:p>
            <w:pPr>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常规次数内服务费</w:t>
            </w:r>
          </w:p>
        </w:tc>
        <w:tc>
          <w:tcPr>
            <w:tcW w:w="763" w:type="dxa"/>
          </w:tcPr>
          <w:p>
            <w:pPr>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w:t>
            </w:r>
          </w:p>
        </w:tc>
        <w:tc>
          <w:tcPr>
            <w:tcW w:w="3668" w:type="dxa"/>
          </w:tcPr>
          <w:p>
            <w:pPr>
              <w:jc w:val="both"/>
              <w:rPr>
                <w:rFonts w:hint="default" w:ascii="Times New Roman" w:hAnsi="Times New Roman" w:eastAsia="方正仿宋_GBK"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tcPr>
          <w:p>
            <w:pPr>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2</w:t>
            </w:r>
          </w:p>
        </w:tc>
        <w:tc>
          <w:tcPr>
            <w:tcW w:w="4078" w:type="dxa"/>
          </w:tcPr>
          <w:p>
            <w:pPr>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超出常规次数每个服务点转运服务费</w:t>
            </w:r>
          </w:p>
        </w:tc>
        <w:tc>
          <w:tcPr>
            <w:tcW w:w="763" w:type="dxa"/>
          </w:tcPr>
          <w:p>
            <w:pPr>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w:t>
            </w:r>
          </w:p>
        </w:tc>
        <w:tc>
          <w:tcPr>
            <w:tcW w:w="3668" w:type="dxa"/>
          </w:tcPr>
          <w:p>
            <w:pPr>
              <w:jc w:val="both"/>
              <w:rPr>
                <w:rFonts w:hint="default" w:ascii="Times New Roman" w:hAnsi="Times New Roman" w:eastAsia="方正仿宋_GBK"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73" w:type="dxa"/>
            <w:gridSpan w:val="4"/>
          </w:tcPr>
          <w:p>
            <w:pPr>
              <w:jc w:val="both"/>
              <w:rPr>
                <w:rFonts w:hint="eastAsia"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备注：</w:t>
            </w:r>
          </w:p>
          <w:p>
            <w:pPr>
              <w:jc w:val="both"/>
              <w:rPr>
                <w:rFonts w:hint="eastAsia"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1.常规：每天每个协议服务点1次，每个服务点加急转运次数为每月5次；</w:t>
            </w:r>
          </w:p>
          <w:p>
            <w:pPr>
              <w:jc w:val="both"/>
              <w:rPr>
                <w:rFonts w:hint="default" w:ascii="Times New Roman" w:hAnsi="Times New Roman" w:eastAsia="方正仿宋_GBK" w:cs="Times New Roman"/>
                <w:sz w:val="24"/>
                <w:szCs w:val="24"/>
                <w:vertAlign w:val="baseline"/>
                <w:lang w:val="en-US" w:eastAsia="zh-CN"/>
              </w:rPr>
            </w:pPr>
            <w:r>
              <w:rPr>
                <w:rFonts w:hint="eastAsia" w:ascii="Times New Roman" w:hAnsi="Times New Roman" w:eastAsia="方正仿宋_GBK" w:cs="Times New Roman"/>
                <w:sz w:val="24"/>
                <w:szCs w:val="24"/>
                <w:vertAlign w:val="baseline"/>
                <w:lang w:val="en-US" w:eastAsia="zh-CN"/>
              </w:rPr>
              <w:t>2.如重庆市相关检验项目物价调整，以实时文件为准，但下浮率不变；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2" w:type="dxa"/>
            <w:gridSpan w:val="2"/>
            <w:vAlign w:val="top"/>
          </w:tcPr>
          <w:p>
            <w:pPr>
              <w:jc w:val="both"/>
              <w:rPr>
                <w:rFonts w:hint="default" w:ascii="Times New Roman" w:hAnsi="Times New Roman" w:eastAsia="方正仿宋_GBK" w:cs="Times New Roman"/>
                <w:kern w:val="2"/>
                <w:sz w:val="24"/>
                <w:szCs w:val="24"/>
                <w:vertAlign w:val="baseline"/>
                <w:lang w:val="en-US" w:eastAsia="zh-CN" w:bidi="ar-SA"/>
              </w:rPr>
            </w:pPr>
            <w:r>
              <w:rPr>
                <w:rFonts w:hint="eastAsia" w:ascii="Times New Roman" w:hAnsi="Times New Roman" w:eastAsia="方正仿宋_GBK" w:cs="Times New Roman"/>
                <w:sz w:val="24"/>
                <w:szCs w:val="24"/>
                <w:vertAlign w:val="baseline"/>
                <w:lang w:val="en-US" w:eastAsia="zh-CN"/>
              </w:rPr>
              <w:t>对本项目的其他建议：</w:t>
            </w:r>
          </w:p>
        </w:tc>
        <w:tc>
          <w:tcPr>
            <w:tcW w:w="4431" w:type="dxa"/>
            <w:gridSpan w:val="2"/>
          </w:tcPr>
          <w:p>
            <w:pPr>
              <w:jc w:val="both"/>
              <w:rPr>
                <w:rFonts w:hint="default" w:ascii="Times New Roman" w:hAnsi="Times New Roman" w:eastAsia="方正仿宋_GBK"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2" w:type="dxa"/>
            <w:gridSpan w:val="2"/>
            <w:vAlign w:val="top"/>
          </w:tcPr>
          <w:p>
            <w:pPr>
              <w:jc w:val="both"/>
              <w:rPr>
                <w:rFonts w:hint="eastAsia" w:ascii="Times New Roman" w:hAnsi="Times New Roman" w:eastAsia="仿宋" w:cs="Times New Roman"/>
                <w:kern w:val="2"/>
                <w:sz w:val="24"/>
                <w:szCs w:val="24"/>
                <w:vertAlign w:val="baseline"/>
                <w:lang w:val="en-US" w:eastAsia="zh-CN" w:bidi="ar-SA"/>
              </w:rPr>
            </w:pPr>
            <w:r>
              <w:rPr>
                <w:rFonts w:hint="eastAsia" w:ascii="仿宋" w:hAnsi="仿宋" w:eastAsia="仿宋" w:cs="仿宋"/>
                <w:shd w:val="clear" w:color="auto" w:fill="FFFFFF"/>
              </w:rPr>
              <w:t>服务期满后项目运营和维护所需要的技术（包含项目实施涉及的所有技术和软件）的知识产权及归属</w:t>
            </w:r>
            <w:r>
              <w:rPr>
                <w:rFonts w:hint="eastAsia" w:ascii="仿宋" w:hAnsi="仿宋" w:eastAsia="仿宋" w:cs="仿宋"/>
                <w:shd w:val="clear" w:color="auto" w:fill="FFFFFF"/>
                <w:lang w:eastAsia="zh-CN"/>
              </w:rPr>
              <w:t>：</w:t>
            </w:r>
          </w:p>
        </w:tc>
        <w:tc>
          <w:tcPr>
            <w:tcW w:w="4431" w:type="dxa"/>
            <w:gridSpan w:val="2"/>
          </w:tcPr>
          <w:p>
            <w:pPr>
              <w:jc w:val="both"/>
              <w:rPr>
                <w:rFonts w:hint="default" w:ascii="Times New Roman" w:hAnsi="Times New Roman" w:eastAsia="方正仿宋_GBK" w:cs="Times New Roman"/>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2" w:type="dxa"/>
            <w:gridSpan w:val="2"/>
            <w:vAlign w:val="top"/>
          </w:tcPr>
          <w:p>
            <w:pPr>
              <w:jc w:val="both"/>
              <w:rPr>
                <w:rFonts w:hint="eastAsia" w:ascii="仿宋" w:hAnsi="仿宋" w:eastAsia="仿宋" w:cs="仿宋"/>
                <w:shd w:val="clear" w:color="auto" w:fill="FFFFFF"/>
              </w:rPr>
            </w:pPr>
            <w:r>
              <w:rPr>
                <w:rFonts w:hint="eastAsia" w:ascii="Times New Roman" w:hAnsi="Times New Roman" w:eastAsia="方正仿宋_GBK" w:cs="Times New Roman"/>
                <w:sz w:val="24"/>
                <w:szCs w:val="24"/>
                <w:vertAlign w:val="baseline"/>
                <w:lang w:val="en-US" w:eastAsia="zh-CN"/>
              </w:rPr>
              <w:t>供应商联系人及联系电话：</w:t>
            </w:r>
          </w:p>
        </w:tc>
        <w:tc>
          <w:tcPr>
            <w:tcW w:w="4431" w:type="dxa"/>
            <w:gridSpan w:val="2"/>
          </w:tcPr>
          <w:p>
            <w:pPr>
              <w:jc w:val="both"/>
              <w:rPr>
                <w:rFonts w:hint="default" w:ascii="Times New Roman" w:hAnsi="Times New Roman" w:eastAsia="方正仿宋_GBK" w:cs="Times New Roman"/>
                <w:sz w:val="24"/>
                <w:szCs w:val="24"/>
                <w:vertAlign w:val="baseline"/>
                <w:lang w:val="en-US" w:eastAsia="zh-CN"/>
              </w:rPr>
            </w:pPr>
          </w:p>
        </w:tc>
      </w:tr>
    </w:tbl>
    <w:p>
      <w:pPr>
        <w:jc w:val="both"/>
        <w:rPr>
          <w:rFonts w:hint="default" w:ascii="Times New Roman" w:hAnsi="Times New Roman" w:eastAsia="方正仿宋_GBK" w:cs="Times New Roman"/>
          <w:sz w:val="24"/>
          <w:szCs w:val="24"/>
          <w:lang w:val="en-US" w:eastAsia="zh-CN"/>
        </w:rPr>
        <w:sectPr>
          <w:pgSz w:w="11906" w:h="16838"/>
          <w:pgMar w:top="1440" w:right="1800" w:bottom="1440" w:left="1800" w:header="851" w:footer="992" w:gutter="0"/>
          <w:cols w:space="425" w:num="1"/>
          <w:docGrid w:type="lines" w:linePitch="312" w:charSpace="0"/>
        </w:sectPr>
      </w:pPr>
    </w:p>
    <w:p>
      <w:pPr>
        <w:jc w:val="both"/>
        <w:rPr>
          <w:rFonts w:hint="default" w:ascii="Times New Roman" w:hAnsi="Times New Roman" w:eastAsia="方正仿宋_GBK" w:cs="Times New Roman"/>
          <w:sz w:val="40"/>
          <w:szCs w:val="40"/>
          <w:lang w:val="en-US" w:eastAsia="zh-CN"/>
        </w:rPr>
      </w:pPr>
      <w:r>
        <w:rPr>
          <w:rFonts w:hint="default" w:ascii="Times New Roman" w:hAnsi="Times New Roman" w:eastAsia="方正仿宋_GBK" w:cs="Times New Roman"/>
          <w:sz w:val="22"/>
          <w:szCs w:val="22"/>
          <w:lang w:val="en-US" w:eastAsia="zh-CN"/>
        </w:rPr>
        <w:t>附件</w:t>
      </w:r>
      <w:r>
        <w:rPr>
          <w:rFonts w:hint="eastAsia" w:ascii="Times New Roman" w:hAnsi="Times New Roman" w:eastAsia="方正仿宋_GBK" w:cs="Times New Roman"/>
          <w:sz w:val="22"/>
          <w:szCs w:val="22"/>
          <w:lang w:val="en-US" w:eastAsia="zh-CN"/>
        </w:rPr>
        <w:t>2</w:t>
      </w:r>
      <w:r>
        <w:rPr>
          <w:rFonts w:hint="default" w:ascii="Times New Roman" w:hAnsi="Times New Roman" w:eastAsia="方正仿宋_GBK" w:cs="Times New Roman"/>
          <w:sz w:val="22"/>
          <w:szCs w:val="22"/>
          <w:lang w:val="en-US" w:eastAsia="zh-CN"/>
        </w:rPr>
        <w:t>：</w:t>
      </w:r>
      <w:r>
        <w:rPr>
          <w:rFonts w:hint="default" w:ascii="Times New Roman" w:hAnsi="Times New Roman" w:eastAsia="方正仿宋_GBK" w:cs="Times New Roman"/>
          <w:sz w:val="40"/>
          <w:szCs w:val="40"/>
          <w:lang w:val="en-US" w:eastAsia="zh-CN"/>
        </w:rPr>
        <w:t xml:space="preserve">           </w:t>
      </w:r>
    </w:p>
    <w:tbl>
      <w:tblPr>
        <w:tblStyle w:val="5"/>
        <w:tblW w:w="83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99"/>
        <w:gridCol w:w="1411"/>
        <w:gridCol w:w="11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385" w:type="dxa"/>
            <w:gridSpan w:val="3"/>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医联体检验中心物流服务项目明细表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lang w:val="en-US" w:eastAsia="zh-CN"/>
              </w:rPr>
            </w:pPr>
            <w:r>
              <w:rPr>
                <w:rFonts w:hint="eastAsia" w:ascii="方正仿宋_GBK" w:hAnsi="方正仿宋_GBK" w:eastAsia="方正仿宋_GBK" w:cs="方正仿宋_GBK"/>
                <w:i w:val="0"/>
                <w:iCs w:val="0"/>
                <w:color w:val="000000"/>
                <w:sz w:val="22"/>
                <w:szCs w:val="22"/>
                <w:u w:val="none"/>
                <w:lang w:val="en-US" w:eastAsia="zh-CN"/>
              </w:rPr>
              <w:t>当前物价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预估数量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尿常规（手工法）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（需氧）血培养一般细菌培养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血常规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（厌氧）血培养一般细菌培养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脂溶性维生素D/D2/D3测定（限产科、儿科、儿保科）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葡萄糖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24小时尿钾钠氯钙测定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25羟基维他命D测定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（门诊用）特殊介质交叉配血卡式法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甲胎蛋白（AFP）</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ABO血型鉴定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脑钠肽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糖类抗原测定（CA125）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糖类抗原测定（CA199）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糖类抗原242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糖类抗原724测定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癌胚抗原测定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C反应蛋白测定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C肽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D二聚体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ABO/RH血型鉴定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EB病毒检测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GM试验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150.94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同型半胱氨酸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HIV抗体检测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HPV23分型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RH血型其他抗原鉴定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液基薄层细胞学检查 （TCT）</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198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TORCH十项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β2微球蛋白测定（血清）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白带常规+BV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ALT AST（肝功两项）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白介素6测定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丙肝RNA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丙肝抗体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不规则抗体筛查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传染病四项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雌二醇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促红细胞生长素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35.99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促甲状腺激素受体抗体测定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单纯疱疹病毒II型（HSVII-DNA）定量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导管培养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地中海贫血基因诊断</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544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登革热抗体测定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电解质3（钾/钠/氯/钙）</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电解质1（钾/钠/氯/钙/镁/磷+碳酸氢盐）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电解质2（钾/钠/氯/钙/镁/磷）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电解质3项（K、Na、Cl）</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电解质两项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电解质五项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36.1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血清淀粉酶测定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儿茶酚胺</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肺癌相关物质检测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分泌物培养+鉴定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粪便常规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粪便轮状病毒测定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粪便培养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风湿两项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风湿九项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199.5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风湿三项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风湿四项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56.6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肝功11项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肝功五项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肾功能二项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肾功能三项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肝功能八项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肝功12项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肝功13项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肝功能九项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粪便隐血试验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肝功能六项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肝功能十项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肝功能五项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肝功能三项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血脂四项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肝纤五项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睾酮测定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革兰染色查细菌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骨代谢三项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骨代谢四项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过敏原测定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过敏原（吸入物变应原）测定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过敏原测定(十九项)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乙肝DNA测定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呼吸道六项核酸检测（含肺支）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呼吸道三项核酸（腺病毒、肺支、人鼻病毒）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呼吸道三项核酸（甲流、乙流、合胞病毒）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霍乱弧菌培养+鉴定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血清肌钙蛋白I测定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肌酐测定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心肌酶谱五项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甲肝抗体测定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甲功五项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甲功三项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甲功六项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甲功七项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甲型肝炎抗体测定(AntiHAV)(IgM)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甲型肝炎抗体测定(Anti-HAV)定量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甲型乙型流感病毒核酸快速检测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甲状旁腺激素检测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甲状腺过氧化物酶抗体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鉴定（尿液）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降钙素原测定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结核杆菌抗体测定（金标法）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结核感染T细胞检测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巨细胞病毒抗体测定（IgG、IgM）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抗RA33抗体测定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抗核抗体测定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抗环瓜氨酸肽抗体测定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抗甲状腺球蛋白抗体测定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抗链球菌溶血素测定（ASO）</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抗缪勒氏管激素检测（AMH）</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抗中性粒细胞胞浆抗体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类风湿因子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淋球菌NGDNA检查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淋球菌检查淋病</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鳞状细胞抗原定量检测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梅毒、HIV</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梅毒不加热反应素试验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梅毒螺旋体特异性抗体测定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梅毒螺旋体颗粒凝集试验（TPPA）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免疫球蛋白五项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免疫球蛋白六项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灭菌效果检测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尿沉渣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尿肌酐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抗酸染色找抗酸杆菌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尿培养及药敏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尿微量白蛋白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尿液分析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凝血四项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凝血五项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凝血酶原时间测定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脓液培养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诺如病毒核酸检测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皮质醇测定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贫血三项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前列腺特异性抗原两项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血铅测定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人附睾蛋白HE4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人免疫缺陷病毒抗体测定（定量分析法）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血清人绒毛促性腺激素测定（血HCG）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乳酸脱氢酶测定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肾功四项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肾功五项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肾功六项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痰培养一般细菌培养+鉴定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糖化血红蛋白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糖类抗原测定（CA153）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糖尿病抗体谱检测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血沉红细胞沉降率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铁蛋白测定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外周血涂片疑难细胞性检验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微量元素六项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微量元素五项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胃液隐血试验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无菌体液一般细菌培养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戊肝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细胞角蛋白19片段测定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痰一般细菌培养+鉴定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腺病毒</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心肌酶谱四项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心肌酶三项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心肌酶损伤3项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心肌损伤三项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新冠核酸检测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性激素六项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胸腹水常规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胸腹水培养及鉴定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胸腹水染色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胸腹水生化检查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胸腹水无菌一般培养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胸水抗酸染色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血氨测定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血钙测定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血培养一般细菌培养（无菌体液培养）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（需氧）血培养一般细菌培养*2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（厌氧）导管血培养一般细菌培养*2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血气分析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血清白蛋白测定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血清丙氨酸氨基转移酶测定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血清碘甲状原氨测定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血清胱抑素C测定（外）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血清肌红蛋白测定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53.8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血清肌酸激酶测定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血清甲状腺球蛋白测定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血清甲状腺素(TT4)测定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血清泌乳素测定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血清三碘甲状原氨酸(TT3)测定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血清维生素D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血清维生素D分型及浓度HH</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126.35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血清胃泌素释放肽前体</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胰岛素</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血清脂肪酶测定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血清游离甲状腺素游离三碘甲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血清脂溶性维生素A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血型特异性抗体鉴定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血脂五项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血脂六项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血脂七项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咽拭子培养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液基细胞学（胸水）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一般细菌培养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衣原体培养及药敏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乙肝表面抗原测定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乙肝五项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阴道分泌物微生态分析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优生十项定性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幽门螺旋杆菌测定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游离前列腺特异性抗原测定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孕酮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真菌D-葡聚糖检测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真菌培养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真菌培养+鉴定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真菌涂片检查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支原体培养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支原体培养+药敏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脂溶性维生素D</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63.3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脂溶性维生素群(ADEK）</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直接抗人球蛋白试验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志贺菌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肿瘤标志物三项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肿瘤标志物五项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自身抗体谱检测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自身免疫性肝病抗体谱检测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总IGM检测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总前列腺特异性抗原测定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空气培养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手卫生</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水质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无菌用品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物表细菌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消毒液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消毒用品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芽孢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副流感病毒I型核酸检测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手足口病肠道病毒71（EV71）核酸检测（咽拭子）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人偏肺病毒核酸检测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HPV15型核酸检测（两癌筛查专用）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肠道病毒通用型核酸检测（含柯萨奇）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含人偏肺呼吸道六项核酸检测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各类病原体DNA测定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诺如病毒检测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分泌物隐血试验（免疫法）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穿刺液常规检查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血常规+C反应蛋白+网织红细胞计数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血常规+网织红细胞计数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血常规+C反应蛋白+SAA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异常白细胞形态检查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网织红细胞计数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前列腺液常规检查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血液疟原虫检查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SAA</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尿液分析（11项）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精液常规检查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血常规（指尖血）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关节腔积液（常规）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血常规+网织红细胞计数（指尖血）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白带常规</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血常规+C反应蛋白（指尖血）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粪便轮状病毒腺病毒检测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粪便常规寄生虫轮状病毒腺病毒检测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尿毒品试验（吗啡、甲基安非他明、氯胺酮）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痰液隐血试验（免疫法）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凝血七项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血液流变学</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衣原体检查（免疫学法）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硫酸脱氢表雄酮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TORCH五项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柯萨奇病毒A16型IgM检测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S100蛋白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肠道病毒71型IgM抗体检测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血清透明质酸测定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自身免疫性血管炎抗体谱测定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热休克蛋白90a定量检测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人类免疫缺陷病毒抗原抗体测定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单纯疱疹抗体检测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神经元特异性烯醇化酶测定（NSE）</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47.3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血清促肾上腺皮质激素测定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血清甲状腺结合球蛋白测定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幽门螺旋杆菌血清学检测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血清层粘连蛋白测定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弓形体抗体测定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肺癌相关物质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胃功能两项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肝纤四项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风疹病毒抗体测定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骨钙素N端肽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呼吸道病原体五项快速检测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胃功能七项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胃功能三项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肺炎支原体血清学试验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叶酸B12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甲肝戊肝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肺炎支原体抗原检测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叶酸测定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肺癌两项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94.6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糖类抗原50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自身抗体谱检测（17项）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抗RA33-IgG抗体测定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抗谬勒氏管激素检测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降钙素测定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梅毒滴度试验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微量白蛋白/尿肌酐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脂肪酶+淀粉酶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电解质</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肾功三项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肾功两项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血HCG</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血清促卵泡激素测定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尿钾/尿肌酐</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尿淀粉酶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尿蛋白定量（24小时尿）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内生肌酐清除率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脑脊液生化检查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免疫球蛋白游离轻链κ测定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免疫球蛋白游离轻链λ测定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β羟基丁酸测定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β2微球蛋白测定（尿液）</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α1微球蛋白测定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（特病门诊）肾功两项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脂联素检测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（特病门诊）肝功五项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指血糖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血清载脂蛋白CII测定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游离脂肪酸测定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关节腔积液（生化）</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胰岛素+血糖试验五项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血清总胆固醇测定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血清天门冬氨酸氨基转移酶测定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血清亮氨酸氨基肽酶测定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果糖胺测定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血清肌酸激酶-MB同工酶活性测定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血清甘油三脂测定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血清单胺氧化酶测定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24小时尿酸测定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（产科专用）肝功五项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血清α羟基丁酸脱氢酶测定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17α羟基孕酮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血钠测定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血钾测定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腹水淀粉酶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心肌型脂肪酸结合蛋白检测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血清5‘核苷酸测定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心肌酶谱六项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185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唾液酸测定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糖化白蛋白</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视黄醇结合球蛋白测定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生化全套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374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肾早期损害指标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胆碱酯酶测定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乳酸测定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缺血修饰性白蛋白测定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葡萄糖-6-磷酸脱氢酶活性检测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血清促黄体生成素测定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总IgE检测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癌胚抗原测定（胸腹水）</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33.6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药物基因检测（他克莫司、环孢素A、西罗莫司）</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HBV核苷类似物耐药突变及基因检测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水痘-带状疱疹抗体两项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药物基因检测（叶酸-H型高血压治疗）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腮腺炎病毒抗体两项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尿液巨细胞DNA定性</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麻疹病毒IgM抗体测定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凝血因子（IX）活性测定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肝素+ATIII活性测定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维生素A测定（限产科、儿科、儿保科）</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血浆凝血因子（II）活性测定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血浆凝血因子（X）活性测定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钙卫蛋白检测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呼吸道病原体靶向检测（TNGS）</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不孕不育抗体五项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封闭抗体检测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遗传性耳聋基因检测（108位点）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药物基因检测（血栓风险）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遗传疾病基因检测每增加一项加收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低分子肝素+凝血因子活性测定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真菌抗原三项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低分子肝素+ATIII活性测定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血清胰高血糖测定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血清双氢睾酮测定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醛固酮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墨汁染色（新型隐球菌）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β-内酰胺酶试验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耐甲氧西林金黄色葡萄球菌检测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支原体药敏</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艰难梭菌检查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（气管抽吸物）一般细菌培养+鉴定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一般细菌培养（自动仪鉴定加收）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厌氧培养+鉴定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特殊细菌涂片检查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（厌氧）导管血培养一般细菌培养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沙门菌、志贺菌培养+鉴定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常规药敏定性（K-B）</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常规药敏定量（MIC）限门诊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（需氧）导管血培养一般细菌培养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（肺泡灌洗液）一般细菌培养+鉴定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血栓弹力图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154.5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RH阴性确诊试验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Rh血型鉴定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直抗+间抗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间接抗人球蛋白试验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疑难交叉配血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血小板特异性和组织相容性抗体检测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600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血小板交叉配血试验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ABO/RhD血型鉴定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ABO/Rh新生儿溶血检查</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170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其他临时应急项目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2"/>
                <w:szCs w:val="22"/>
                <w:u w:val="none"/>
              </w:rPr>
            </w:pPr>
            <w:r>
              <w:rPr>
                <w:rFonts w:hint="eastAsia" w:ascii="方正仿宋_GBK" w:hAnsi="方正仿宋_GBK" w:eastAsia="方正仿宋_GBK" w:cs="方正仿宋_GBK"/>
                <w:i w:val="0"/>
                <w:iCs w:val="0"/>
                <w:color w:val="000000"/>
                <w:kern w:val="0"/>
                <w:sz w:val="22"/>
                <w:szCs w:val="22"/>
                <w:u w:val="none"/>
                <w:lang w:val="en-US" w:eastAsia="zh-CN" w:bidi="ar"/>
              </w:rPr>
              <w:t>以物价为准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仿宋_GBK" w:hAnsi="方正仿宋_GBK" w:eastAsia="方正仿宋_GBK" w:cs="方正仿宋_GBK"/>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2"/>
                <w:szCs w:val="22"/>
                <w:u w:val="none"/>
              </w:rPr>
            </w:pPr>
            <w:r>
              <w:rPr>
                <w:rFonts w:hint="eastAsia" w:ascii="方正仿宋_GBK" w:hAnsi="方正仿宋_GBK" w:eastAsia="方正仿宋_GBK" w:cs="方正仿宋_GBK"/>
                <w:b/>
                <w:bCs/>
                <w:i w:val="0"/>
                <w:iCs w:val="0"/>
                <w:color w:val="000000"/>
                <w:kern w:val="0"/>
                <w:sz w:val="22"/>
                <w:szCs w:val="22"/>
                <w:u w:val="none"/>
                <w:lang w:val="en-US" w:eastAsia="zh-CN" w:bidi="ar"/>
              </w:rPr>
              <w:t>备注：如重庆市相关检验项目物价调整，以实时文件为准</w:t>
            </w:r>
          </w:p>
        </w:tc>
      </w:tr>
    </w:tbl>
    <w:p>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方正仿宋_GBK" w:cs="Times New Roman"/>
          <w:b/>
          <w:bCs/>
          <w:sz w:val="24"/>
          <w:szCs w:val="24"/>
          <w:lang w:eastAsia="zh-CN"/>
        </w:rPr>
      </w:pPr>
    </w:p>
    <w:sectPr>
      <w:pgSz w:w="11906" w:h="16838"/>
      <w:pgMar w:top="1440" w:right="1803" w:bottom="1440" w:left="1803"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Black">
    <w:panose1 w:val="020B0A04020102020204"/>
    <w:charset w:val="00"/>
    <w:family w:val="swiss"/>
    <w:pitch w:val="default"/>
    <w:sig w:usb0="A00002AF" w:usb1="400078FB" w:usb2="00000000" w:usb3="00000000" w:csb0="6000009F" w:csb1="DFD7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78562E"/>
    <w:multiLevelType w:val="singleLevel"/>
    <w:tmpl w:val="9978562E"/>
    <w:lvl w:ilvl="0" w:tentative="0">
      <w:start w:val="1"/>
      <w:numFmt w:val="decimal"/>
      <w:suff w:val="nothing"/>
      <w:lvlText w:val="%1．"/>
      <w:lvlJc w:val="left"/>
      <w:pPr>
        <w:ind w:left="0" w:firstLine="400"/>
      </w:pPr>
      <w:rPr>
        <w:rFonts w:hint="default"/>
      </w:rPr>
    </w:lvl>
  </w:abstractNum>
  <w:abstractNum w:abstractNumId="1">
    <w:nsid w:val="A7432118"/>
    <w:multiLevelType w:val="singleLevel"/>
    <w:tmpl w:val="A7432118"/>
    <w:lvl w:ilvl="0" w:tentative="0">
      <w:start w:val="1"/>
      <w:numFmt w:val="chineseCounting"/>
      <w:suff w:val="nothing"/>
      <w:lvlText w:val="（%1）"/>
      <w:lvlJc w:val="left"/>
      <w:rPr>
        <w:rFonts w:hint="eastAsia"/>
        <w:b/>
        <w:bCs/>
      </w:rPr>
    </w:lvl>
  </w:abstractNum>
  <w:abstractNum w:abstractNumId="2">
    <w:nsid w:val="D22ACA71"/>
    <w:multiLevelType w:val="singleLevel"/>
    <w:tmpl w:val="D22ACA71"/>
    <w:lvl w:ilvl="0" w:tentative="0">
      <w:start w:val="1"/>
      <w:numFmt w:val="decimal"/>
      <w:suff w:val="nothing"/>
      <w:lvlText w:val="(%1)"/>
      <w:lvlJc w:val="left"/>
      <w:pPr>
        <w:ind w:left="454" w:leftChars="0" w:firstLine="113" w:firstLineChars="0"/>
      </w:pPr>
      <w:rPr>
        <w:rFonts w:hint="default"/>
      </w:rPr>
    </w:lvl>
  </w:abstractNum>
  <w:abstractNum w:abstractNumId="3">
    <w:nsid w:val="EE408D9B"/>
    <w:multiLevelType w:val="singleLevel"/>
    <w:tmpl w:val="EE408D9B"/>
    <w:lvl w:ilvl="0" w:tentative="0">
      <w:start w:val="2"/>
      <w:numFmt w:val="chineseCounting"/>
      <w:suff w:val="nothing"/>
      <w:lvlText w:val="（%1）"/>
      <w:lvlJc w:val="left"/>
      <w:rPr>
        <w:rFonts w:hint="eastAsia"/>
      </w:rPr>
    </w:lvl>
  </w:abstractNum>
  <w:abstractNum w:abstractNumId="4">
    <w:nsid w:val="F978D5C6"/>
    <w:multiLevelType w:val="singleLevel"/>
    <w:tmpl w:val="F978D5C6"/>
    <w:lvl w:ilvl="0" w:tentative="0">
      <w:start w:val="3"/>
      <w:numFmt w:val="chineseCounting"/>
      <w:suff w:val="nothing"/>
      <w:lvlText w:val="%1、"/>
      <w:lvlJc w:val="left"/>
      <w:rPr>
        <w:rFonts w:hint="eastAsia"/>
        <w:b/>
        <w:bCs/>
      </w:rPr>
    </w:lvl>
  </w:abstractNum>
  <w:abstractNum w:abstractNumId="5">
    <w:nsid w:val="FA37B696"/>
    <w:multiLevelType w:val="singleLevel"/>
    <w:tmpl w:val="FA37B696"/>
    <w:lvl w:ilvl="0" w:tentative="0">
      <w:start w:val="1"/>
      <w:numFmt w:val="decimal"/>
      <w:suff w:val="nothing"/>
      <w:lvlText w:val="(%1)"/>
      <w:lvlJc w:val="left"/>
      <w:pPr>
        <w:ind w:left="454" w:leftChars="0" w:firstLine="113" w:firstLineChars="0"/>
      </w:pPr>
      <w:rPr>
        <w:rFonts w:hint="default"/>
      </w:rPr>
    </w:lvl>
  </w:abstractNum>
  <w:abstractNum w:abstractNumId="6">
    <w:nsid w:val="0627829E"/>
    <w:multiLevelType w:val="singleLevel"/>
    <w:tmpl w:val="0627829E"/>
    <w:lvl w:ilvl="0" w:tentative="0">
      <w:start w:val="1"/>
      <w:numFmt w:val="decimal"/>
      <w:suff w:val="nothing"/>
      <w:lvlText w:val="(%1)"/>
      <w:lvlJc w:val="left"/>
      <w:pPr>
        <w:ind w:left="454" w:leftChars="0" w:firstLine="113" w:firstLineChars="0"/>
      </w:pPr>
      <w:rPr>
        <w:rFonts w:hint="default"/>
      </w:rPr>
    </w:lvl>
  </w:abstractNum>
  <w:num w:numId="1">
    <w:abstractNumId w:val="4"/>
  </w:num>
  <w:num w:numId="2">
    <w:abstractNumId w:val="1"/>
  </w:num>
  <w:num w:numId="3">
    <w:abstractNumId w:val="0"/>
  </w:num>
  <w:num w:numId="4">
    <w:abstractNumId w:val="3"/>
  </w:num>
  <w:num w:numId="5">
    <w:abstractNumId w:val="6"/>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MwYWY2ZTYwMzNiYjQyNDE0MGM4OWM0ZWJlMGViYmEifQ=="/>
  </w:docVars>
  <w:rsids>
    <w:rsidRoot w:val="76877286"/>
    <w:rsid w:val="00043144"/>
    <w:rsid w:val="00155351"/>
    <w:rsid w:val="00C11035"/>
    <w:rsid w:val="00FC3E1B"/>
    <w:rsid w:val="01101675"/>
    <w:rsid w:val="014903A9"/>
    <w:rsid w:val="01F77F95"/>
    <w:rsid w:val="025D4D8E"/>
    <w:rsid w:val="029E162E"/>
    <w:rsid w:val="02B32C00"/>
    <w:rsid w:val="02BF77F6"/>
    <w:rsid w:val="031E276F"/>
    <w:rsid w:val="037979A5"/>
    <w:rsid w:val="03B71DAC"/>
    <w:rsid w:val="040845C6"/>
    <w:rsid w:val="0414147C"/>
    <w:rsid w:val="04212517"/>
    <w:rsid w:val="043A27A2"/>
    <w:rsid w:val="043A35D9"/>
    <w:rsid w:val="0441188B"/>
    <w:rsid w:val="049316B7"/>
    <w:rsid w:val="04E3586E"/>
    <w:rsid w:val="04F33787"/>
    <w:rsid w:val="05616943"/>
    <w:rsid w:val="057A17B3"/>
    <w:rsid w:val="05D9297D"/>
    <w:rsid w:val="066A5A55"/>
    <w:rsid w:val="066B5CCB"/>
    <w:rsid w:val="07091040"/>
    <w:rsid w:val="07A56FBB"/>
    <w:rsid w:val="07F12D96"/>
    <w:rsid w:val="07F67816"/>
    <w:rsid w:val="08030185"/>
    <w:rsid w:val="08E04023"/>
    <w:rsid w:val="09975029"/>
    <w:rsid w:val="099F7A3A"/>
    <w:rsid w:val="0A3E1AF9"/>
    <w:rsid w:val="0AB377C6"/>
    <w:rsid w:val="0AF50259"/>
    <w:rsid w:val="0B0F7305"/>
    <w:rsid w:val="0B2F7F0E"/>
    <w:rsid w:val="0B447722"/>
    <w:rsid w:val="0BCB720C"/>
    <w:rsid w:val="0C083FBC"/>
    <w:rsid w:val="0C943AA2"/>
    <w:rsid w:val="0D9C19CF"/>
    <w:rsid w:val="0E5139F9"/>
    <w:rsid w:val="0E5457FF"/>
    <w:rsid w:val="0F1D7D7F"/>
    <w:rsid w:val="0F492922"/>
    <w:rsid w:val="0F501F02"/>
    <w:rsid w:val="0FD04EBC"/>
    <w:rsid w:val="0FEB5787"/>
    <w:rsid w:val="101A2510"/>
    <w:rsid w:val="109D1177"/>
    <w:rsid w:val="10C009C2"/>
    <w:rsid w:val="1104406F"/>
    <w:rsid w:val="11934328"/>
    <w:rsid w:val="11D706B9"/>
    <w:rsid w:val="11FF19BD"/>
    <w:rsid w:val="12A06CFD"/>
    <w:rsid w:val="12AA36D7"/>
    <w:rsid w:val="12E070F9"/>
    <w:rsid w:val="134850E0"/>
    <w:rsid w:val="137E4DB5"/>
    <w:rsid w:val="140C03C2"/>
    <w:rsid w:val="14385F95"/>
    <w:rsid w:val="146B16C4"/>
    <w:rsid w:val="14740441"/>
    <w:rsid w:val="14761E85"/>
    <w:rsid w:val="14A423A8"/>
    <w:rsid w:val="14A74E8B"/>
    <w:rsid w:val="14A80B86"/>
    <w:rsid w:val="14CB0A97"/>
    <w:rsid w:val="1695469E"/>
    <w:rsid w:val="169F551D"/>
    <w:rsid w:val="16E03488"/>
    <w:rsid w:val="17B64FAE"/>
    <w:rsid w:val="17E21B65"/>
    <w:rsid w:val="18452B6C"/>
    <w:rsid w:val="185A794E"/>
    <w:rsid w:val="194128BC"/>
    <w:rsid w:val="19613133"/>
    <w:rsid w:val="19AB5200"/>
    <w:rsid w:val="1A116732"/>
    <w:rsid w:val="1AF37BE5"/>
    <w:rsid w:val="1B2237C8"/>
    <w:rsid w:val="1B4D379A"/>
    <w:rsid w:val="1BA13662"/>
    <w:rsid w:val="1BBC447B"/>
    <w:rsid w:val="1C252021"/>
    <w:rsid w:val="1C3F3383"/>
    <w:rsid w:val="1C406E5A"/>
    <w:rsid w:val="1CBD66FD"/>
    <w:rsid w:val="1CD04682"/>
    <w:rsid w:val="1D206153"/>
    <w:rsid w:val="1D436C02"/>
    <w:rsid w:val="1D5A219E"/>
    <w:rsid w:val="1D787453"/>
    <w:rsid w:val="1E004AF3"/>
    <w:rsid w:val="1E5F3116"/>
    <w:rsid w:val="1E615BE8"/>
    <w:rsid w:val="1E785778"/>
    <w:rsid w:val="1EE1005A"/>
    <w:rsid w:val="1F115373"/>
    <w:rsid w:val="1FCA360B"/>
    <w:rsid w:val="200A1C59"/>
    <w:rsid w:val="207E43F5"/>
    <w:rsid w:val="212705E9"/>
    <w:rsid w:val="21313EAE"/>
    <w:rsid w:val="218C684C"/>
    <w:rsid w:val="21B92EF0"/>
    <w:rsid w:val="221B63A0"/>
    <w:rsid w:val="22A939AB"/>
    <w:rsid w:val="230706D2"/>
    <w:rsid w:val="237B1C60"/>
    <w:rsid w:val="23AB027B"/>
    <w:rsid w:val="24601DD0"/>
    <w:rsid w:val="24903C6B"/>
    <w:rsid w:val="24B13BE8"/>
    <w:rsid w:val="24E25F88"/>
    <w:rsid w:val="24ED126A"/>
    <w:rsid w:val="25096983"/>
    <w:rsid w:val="256242E5"/>
    <w:rsid w:val="25714529"/>
    <w:rsid w:val="25C31240"/>
    <w:rsid w:val="260E1D77"/>
    <w:rsid w:val="261A071C"/>
    <w:rsid w:val="266E415B"/>
    <w:rsid w:val="26920BFA"/>
    <w:rsid w:val="26CC0CFE"/>
    <w:rsid w:val="27402404"/>
    <w:rsid w:val="27872CDC"/>
    <w:rsid w:val="27B36A2B"/>
    <w:rsid w:val="28031C20"/>
    <w:rsid w:val="28372820"/>
    <w:rsid w:val="28384127"/>
    <w:rsid w:val="283D06F2"/>
    <w:rsid w:val="283D6944"/>
    <w:rsid w:val="28887BBF"/>
    <w:rsid w:val="28B671EA"/>
    <w:rsid w:val="28F46674"/>
    <w:rsid w:val="29121B7F"/>
    <w:rsid w:val="2964062C"/>
    <w:rsid w:val="29A77266"/>
    <w:rsid w:val="29BA17DA"/>
    <w:rsid w:val="2AF54989"/>
    <w:rsid w:val="2B5621F6"/>
    <w:rsid w:val="2B674918"/>
    <w:rsid w:val="2BAF7B59"/>
    <w:rsid w:val="2BC74169"/>
    <w:rsid w:val="2BD80E5D"/>
    <w:rsid w:val="2C3D33B6"/>
    <w:rsid w:val="2C4B7881"/>
    <w:rsid w:val="2C95079C"/>
    <w:rsid w:val="2D0B7011"/>
    <w:rsid w:val="2DA2331A"/>
    <w:rsid w:val="2DCE2591"/>
    <w:rsid w:val="2DF302D1"/>
    <w:rsid w:val="2E82647A"/>
    <w:rsid w:val="2EA8720D"/>
    <w:rsid w:val="2EBD433B"/>
    <w:rsid w:val="2EBF00B3"/>
    <w:rsid w:val="2ED95618"/>
    <w:rsid w:val="2FB120F1"/>
    <w:rsid w:val="2FF87D20"/>
    <w:rsid w:val="305D7B83"/>
    <w:rsid w:val="306C5F95"/>
    <w:rsid w:val="31205C64"/>
    <w:rsid w:val="312078D0"/>
    <w:rsid w:val="3138414C"/>
    <w:rsid w:val="31BD2FCF"/>
    <w:rsid w:val="31E56082"/>
    <w:rsid w:val="31ED3189"/>
    <w:rsid w:val="32A0644D"/>
    <w:rsid w:val="32CC5D23"/>
    <w:rsid w:val="32DF3330"/>
    <w:rsid w:val="33640095"/>
    <w:rsid w:val="33F64577"/>
    <w:rsid w:val="342E52D9"/>
    <w:rsid w:val="3433481D"/>
    <w:rsid w:val="343E5F1E"/>
    <w:rsid w:val="34862EBD"/>
    <w:rsid w:val="351D1FD7"/>
    <w:rsid w:val="351D3D85"/>
    <w:rsid w:val="35431A3E"/>
    <w:rsid w:val="355377A7"/>
    <w:rsid w:val="35C91817"/>
    <w:rsid w:val="365437D6"/>
    <w:rsid w:val="37172072"/>
    <w:rsid w:val="37830395"/>
    <w:rsid w:val="37857C22"/>
    <w:rsid w:val="38170F5F"/>
    <w:rsid w:val="38171050"/>
    <w:rsid w:val="38216165"/>
    <w:rsid w:val="38544D88"/>
    <w:rsid w:val="38607DE7"/>
    <w:rsid w:val="38B247E4"/>
    <w:rsid w:val="39094D4C"/>
    <w:rsid w:val="390F1F0F"/>
    <w:rsid w:val="39685B45"/>
    <w:rsid w:val="398626B6"/>
    <w:rsid w:val="399D7242"/>
    <w:rsid w:val="3A230DBA"/>
    <w:rsid w:val="3A59585F"/>
    <w:rsid w:val="3A5E5A69"/>
    <w:rsid w:val="3A683839"/>
    <w:rsid w:val="3AB727F7"/>
    <w:rsid w:val="3B547DD5"/>
    <w:rsid w:val="3BDD601C"/>
    <w:rsid w:val="3BE21884"/>
    <w:rsid w:val="3C5F6349"/>
    <w:rsid w:val="3CB74ABF"/>
    <w:rsid w:val="3CF31FB3"/>
    <w:rsid w:val="3CF74EBC"/>
    <w:rsid w:val="3D1837B0"/>
    <w:rsid w:val="3D3B749E"/>
    <w:rsid w:val="3D417B8C"/>
    <w:rsid w:val="3D6F6289"/>
    <w:rsid w:val="3D931088"/>
    <w:rsid w:val="3E8D1F7B"/>
    <w:rsid w:val="3EC2192B"/>
    <w:rsid w:val="3F4B4AE3"/>
    <w:rsid w:val="3F56236D"/>
    <w:rsid w:val="3FA25057"/>
    <w:rsid w:val="3FB928FC"/>
    <w:rsid w:val="3FC03C8B"/>
    <w:rsid w:val="3FDB6D16"/>
    <w:rsid w:val="3FF77A90"/>
    <w:rsid w:val="40BF2194"/>
    <w:rsid w:val="40EA58A7"/>
    <w:rsid w:val="41650F8E"/>
    <w:rsid w:val="41765BEF"/>
    <w:rsid w:val="4230334A"/>
    <w:rsid w:val="42753FC0"/>
    <w:rsid w:val="433C5D1E"/>
    <w:rsid w:val="435B43F6"/>
    <w:rsid w:val="43931DE2"/>
    <w:rsid w:val="439F6BCF"/>
    <w:rsid w:val="43EC504E"/>
    <w:rsid w:val="4467501D"/>
    <w:rsid w:val="44A65B45"/>
    <w:rsid w:val="456F5F37"/>
    <w:rsid w:val="45A831F7"/>
    <w:rsid w:val="466510E8"/>
    <w:rsid w:val="46833A36"/>
    <w:rsid w:val="46CC73B9"/>
    <w:rsid w:val="46D22C08"/>
    <w:rsid w:val="46FF778E"/>
    <w:rsid w:val="47946129"/>
    <w:rsid w:val="47AA76FA"/>
    <w:rsid w:val="47AC615E"/>
    <w:rsid w:val="47B15A25"/>
    <w:rsid w:val="495A524A"/>
    <w:rsid w:val="496947E1"/>
    <w:rsid w:val="49BF6D61"/>
    <w:rsid w:val="49F04DE4"/>
    <w:rsid w:val="49F72751"/>
    <w:rsid w:val="4A1C7192"/>
    <w:rsid w:val="4A4554B8"/>
    <w:rsid w:val="4A957030"/>
    <w:rsid w:val="4B0E1D4E"/>
    <w:rsid w:val="4C1C049B"/>
    <w:rsid w:val="4C470842"/>
    <w:rsid w:val="4C6E6EB2"/>
    <w:rsid w:val="4C7C4D28"/>
    <w:rsid w:val="4C975D73"/>
    <w:rsid w:val="4CF055EB"/>
    <w:rsid w:val="4D3161C8"/>
    <w:rsid w:val="4DEE5E67"/>
    <w:rsid w:val="4E2A50F1"/>
    <w:rsid w:val="4E8D051A"/>
    <w:rsid w:val="4EB278F8"/>
    <w:rsid w:val="4ED35788"/>
    <w:rsid w:val="4ED82D9F"/>
    <w:rsid w:val="4F29184C"/>
    <w:rsid w:val="4F4D28FF"/>
    <w:rsid w:val="4F5B577E"/>
    <w:rsid w:val="4F786A15"/>
    <w:rsid w:val="4FD277EE"/>
    <w:rsid w:val="4FDE2637"/>
    <w:rsid w:val="4FE15C83"/>
    <w:rsid w:val="501A1195"/>
    <w:rsid w:val="501A73E7"/>
    <w:rsid w:val="50807888"/>
    <w:rsid w:val="50E40A10"/>
    <w:rsid w:val="510F0FE3"/>
    <w:rsid w:val="51C6472A"/>
    <w:rsid w:val="51D21B83"/>
    <w:rsid w:val="520B5239"/>
    <w:rsid w:val="520C2D5F"/>
    <w:rsid w:val="52CB6777"/>
    <w:rsid w:val="532742F5"/>
    <w:rsid w:val="53BF5E23"/>
    <w:rsid w:val="53C5766A"/>
    <w:rsid w:val="53EE7D08"/>
    <w:rsid w:val="53FF0DCE"/>
    <w:rsid w:val="546D3F89"/>
    <w:rsid w:val="54AB6860"/>
    <w:rsid w:val="55404E47"/>
    <w:rsid w:val="55CF47D0"/>
    <w:rsid w:val="55D2387C"/>
    <w:rsid w:val="55DA73FC"/>
    <w:rsid w:val="56B310C2"/>
    <w:rsid w:val="56C41E5B"/>
    <w:rsid w:val="56FC1CCD"/>
    <w:rsid w:val="58336D56"/>
    <w:rsid w:val="59937EA9"/>
    <w:rsid w:val="59A57D21"/>
    <w:rsid w:val="59F9006D"/>
    <w:rsid w:val="5A9870FE"/>
    <w:rsid w:val="5AA224B3"/>
    <w:rsid w:val="5B0D3DD0"/>
    <w:rsid w:val="5B694D7F"/>
    <w:rsid w:val="5C4E56D8"/>
    <w:rsid w:val="5D300757"/>
    <w:rsid w:val="5D6567A1"/>
    <w:rsid w:val="5D8D4300"/>
    <w:rsid w:val="5DAF5613"/>
    <w:rsid w:val="5DC21AC7"/>
    <w:rsid w:val="5E5166CA"/>
    <w:rsid w:val="5E800D5D"/>
    <w:rsid w:val="5E8F2D4E"/>
    <w:rsid w:val="5E99597B"/>
    <w:rsid w:val="5EC60009"/>
    <w:rsid w:val="5ED0422F"/>
    <w:rsid w:val="5EE06CEB"/>
    <w:rsid w:val="5EF7101F"/>
    <w:rsid w:val="5F1A2ABD"/>
    <w:rsid w:val="5F4955F3"/>
    <w:rsid w:val="5FAB655E"/>
    <w:rsid w:val="60D468ED"/>
    <w:rsid w:val="60F11A9E"/>
    <w:rsid w:val="61131A15"/>
    <w:rsid w:val="61E805AF"/>
    <w:rsid w:val="62045801"/>
    <w:rsid w:val="62971BAA"/>
    <w:rsid w:val="633F11E7"/>
    <w:rsid w:val="63BA5D30"/>
    <w:rsid w:val="63D26520"/>
    <w:rsid w:val="642A59F3"/>
    <w:rsid w:val="64995B6C"/>
    <w:rsid w:val="64AA2690"/>
    <w:rsid w:val="64B13A1E"/>
    <w:rsid w:val="65444892"/>
    <w:rsid w:val="65C459D3"/>
    <w:rsid w:val="65E9368C"/>
    <w:rsid w:val="65FC7F22"/>
    <w:rsid w:val="66384DD9"/>
    <w:rsid w:val="66681372"/>
    <w:rsid w:val="66A15D14"/>
    <w:rsid w:val="66E675D0"/>
    <w:rsid w:val="66EA3218"/>
    <w:rsid w:val="674943E2"/>
    <w:rsid w:val="678F3DBF"/>
    <w:rsid w:val="68E76769"/>
    <w:rsid w:val="68EF0FB9"/>
    <w:rsid w:val="69362744"/>
    <w:rsid w:val="69F60125"/>
    <w:rsid w:val="6A0B3BD1"/>
    <w:rsid w:val="6A0C1250"/>
    <w:rsid w:val="6AB06477"/>
    <w:rsid w:val="6AB24566"/>
    <w:rsid w:val="6AF356D0"/>
    <w:rsid w:val="6B3B2294"/>
    <w:rsid w:val="6B482C03"/>
    <w:rsid w:val="6B511329"/>
    <w:rsid w:val="6B8005EE"/>
    <w:rsid w:val="6BB46A94"/>
    <w:rsid w:val="6BC32289"/>
    <w:rsid w:val="6BEC358E"/>
    <w:rsid w:val="6BFB1165"/>
    <w:rsid w:val="6C0528A2"/>
    <w:rsid w:val="6D1301DD"/>
    <w:rsid w:val="6DA57E98"/>
    <w:rsid w:val="6E700B4D"/>
    <w:rsid w:val="6E7206C2"/>
    <w:rsid w:val="6EEF1D13"/>
    <w:rsid w:val="6F182A60"/>
    <w:rsid w:val="6F5C0A2B"/>
    <w:rsid w:val="6F862F65"/>
    <w:rsid w:val="6FA50AB7"/>
    <w:rsid w:val="6FA7439C"/>
    <w:rsid w:val="7012401B"/>
    <w:rsid w:val="705F4C76"/>
    <w:rsid w:val="70AC59E2"/>
    <w:rsid w:val="70C1148D"/>
    <w:rsid w:val="710D0354"/>
    <w:rsid w:val="711C2B67"/>
    <w:rsid w:val="71461992"/>
    <w:rsid w:val="71744751"/>
    <w:rsid w:val="71B7463E"/>
    <w:rsid w:val="71CA2A3B"/>
    <w:rsid w:val="721A045B"/>
    <w:rsid w:val="72620A4E"/>
    <w:rsid w:val="729D4CC8"/>
    <w:rsid w:val="73384C9B"/>
    <w:rsid w:val="733D0B73"/>
    <w:rsid w:val="73522870"/>
    <w:rsid w:val="73682094"/>
    <w:rsid w:val="73801E89"/>
    <w:rsid w:val="74940C67"/>
    <w:rsid w:val="74E67714"/>
    <w:rsid w:val="750E27C7"/>
    <w:rsid w:val="75153B55"/>
    <w:rsid w:val="754601B3"/>
    <w:rsid w:val="755C1784"/>
    <w:rsid w:val="75C613A5"/>
    <w:rsid w:val="75D63B57"/>
    <w:rsid w:val="7608190C"/>
    <w:rsid w:val="762322A2"/>
    <w:rsid w:val="762A53DF"/>
    <w:rsid w:val="76877286"/>
    <w:rsid w:val="76BC44B4"/>
    <w:rsid w:val="76BF010A"/>
    <w:rsid w:val="77112A42"/>
    <w:rsid w:val="775A1CF3"/>
    <w:rsid w:val="77604325"/>
    <w:rsid w:val="77640DC4"/>
    <w:rsid w:val="78045370"/>
    <w:rsid w:val="78FA0EF3"/>
    <w:rsid w:val="79172D80"/>
    <w:rsid w:val="79935991"/>
    <w:rsid w:val="79985388"/>
    <w:rsid w:val="79BD2A0E"/>
    <w:rsid w:val="79BD656A"/>
    <w:rsid w:val="7A9F5827"/>
    <w:rsid w:val="7AAA11E4"/>
    <w:rsid w:val="7B9559F0"/>
    <w:rsid w:val="7BDF310F"/>
    <w:rsid w:val="7BE35E80"/>
    <w:rsid w:val="7D256900"/>
    <w:rsid w:val="7DB34EE0"/>
    <w:rsid w:val="7DBA7990"/>
    <w:rsid w:val="7DBD122E"/>
    <w:rsid w:val="7E461224"/>
    <w:rsid w:val="7E8835EA"/>
    <w:rsid w:val="7E8D6272"/>
    <w:rsid w:val="7ED14F91"/>
    <w:rsid w:val="7F0A2251"/>
    <w:rsid w:val="7F343772"/>
    <w:rsid w:val="7F484B27"/>
    <w:rsid w:val="7F8F09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adjustRightInd w:val="0"/>
      <w:snapToGrid w:val="0"/>
      <w:spacing w:before="20" w:after="20" w:line="380" w:lineRule="exact"/>
      <w:ind w:firstLine="140" w:firstLineChars="140"/>
      <w:outlineLvl w:val="1"/>
    </w:pPr>
    <w:rPr>
      <w:rFonts w:ascii="宋体" w:hAnsi="宋体" w:eastAsia="黑体"/>
      <w:b/>
      <w:sz w:val="3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widowControl w:val="0"/>
      <w:spacing w:after="120"/>
    </w:pPr>
    <w:rPr>
      <w:rFonts w:ascii="宋体" w:hAnsi="宋体"/>
      <w:sz w:val="28"/>
      <w:szCs w:val="20"/>
      <w:lang w:eastAsia="en-US"/>
    </w:rPr>
  </w:style>
  <w:style w:type="paragraph" w:styleId="4">
    <w:name w:val="Normal (Web)"/>
    <w:basedOn w:val="1"/>
    <w:qFormat/>
    <w:uiPriority w:val="0"/>
    <w:pPr>
      <w:spacing w:before="100" w:beforeAutospacing="1" w:after="100" w:afterAutospacing="1"/>
    </w:pPr>
    <w:rPr>
      <w:rFonts w:ascii="Arial Black" w:eastAsia="Arial Black"/>
      <w:kern w:val="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31"/>
    <w:basedOn w:val="7"/>
    <w:qFormat/>
    <w:uiPriority w:val="0"/>
    <w:rPr>
      <w:rFonts w:hint="eastAsia" w:ascii="方正仿宋_GBK" w:hAnsi="方正仿宋_GBK" w:eastAsia="方正仿宋_GBK" w:cs="方正仿宋_GBK"/>
      <w:color w:val="000000"/>
      <w:sz w:val="22"/>
      <w:szCs w:val="22"/>
      <w:u w:val="none"/>
    </w:rPr>
  </w:style>
  <w:style w:type="character" w:customStyle="1" w:styleId="9">
    <w:name w:val="font71"/>
    <w:basedOn w:val="7"/>
    <w:qFormat/>
    <w:uiPriority w:val="0"/>
    <w:rPr>
      <w:rFonts w:hint="eastAsia" w:ascii="方正仿宋_GBK" w:hAnsi="方正仿宋_GBK" w:eastAsia="方正仿宋_GBK" w:cs="方正仿宋_GBK"/>
      <w:color w:val="FF0000"/>
      <w:sz w:val="22"/>
      <w:szCs w:val="22"/>
      <w:u w:val="none"/>
    </w:rPr>
  </w:style>
  <w:style w:type="character" w:customStyle="1" w:styleId="10">
    <w:name w:val="font41"/>
    <w:basedOn w:val="7"/>
    <w:qFormat/>
    <w:uiPriority w:val="0"/>
    <w:rPr>
      <w:rFonts w:hint="eastAsia" w:ascii="方正仿宋_GBK" w:hAnsi="方正仿宋_GBK" w:eastAsia="方正仿宋_GBK" w:cs="方正仿宋_GBK"/>
      <w:color w:val="000000"/>
      <w:sz w:val="22"/>
      <w:szCs w:val="22"/>
      <w:u w:val="none"/>
    </w:rPr>
  </w:style>
  <w:style w:type="character" w:customStyle="1" w:styleId="11">
    <w:name w:val="font81"/>
    <w:basedOn w:val="7"/>
    <w:qFormat/>
    <w:uiPriority w:val="0"/>
    <w:rPr>
      <w:rFonts w:hint="eastAsia" w:ascii="方正仿宋_GBK" w:hAnsi="方正仿宋_GBK" w:eastAsia="方正仿宋_GBK" w:cs="方正仿宋_GBK"/>
      <w:color w:val="FF0000"/>
      <w:sz w:val="22"/>
      <w:szCs w:val="22"/>
      <w:u w:val="none"/>
    </w:rPr>
  </w:style>
  <w:style w:type="character" w:customStyle="1" w:styleId="12">
    <w:name w:val="16"/>
    <w:basedOn w:val="7"/>
    <w:qFormat/>
    <w:uiPriority w:val="0"/>
    <w:rPr>
      <w:rFonts w:hint="eastAsia" w:ascii="方正仿宋_GBK" w:hAnsi="方正仿宋_GBK" w:eastAsia="方正仿宋_GBK" w:cs="方正仿宋_GBK"/>
      <w:color w:val="000000"/>
      <w:sz w:val="22"/>
      <w:szCs w:val="22"/>
    </w:rPr>
  </w:style>
  <w:style w:type="character" w:customStyle="1" w:styleId="13">
    <w:name w:val="10"/>
    <w:basedOn w:val="7"/>
    <w:qFormat/>
    <w:uiPriority w:val="0"/>
    <w:rPr>
      <w:rFonts w:hint="default" w:ascii="Times New Roman" w:hAnsi="Times New Roman" w:cs="Times New Roman"/>
    </w:rPr>
  </w:style>
  <w:style w:type="character" w:customStyle="1" w:styleId="14">
    <w:name w:val="15"/>
    <w:basedOn w:val="7"/>
    <w:qFormat/>
    <w:uiPriority w:val="0"/>
    <w:rPr>
      <w:rFonts w:hint="eastAsia" w:ascii="方正仿宋_GBK" w:hAnsi="方正仿宋_GBK" w:eastAsia="方正仿宋_GBK" w:cs="方正仿宋_GBK"/>
      <w:color w:val="FF0000"/>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6613</Words>
  <Characters>7721</Characters>
  <Lines>1</Lines>
  <Paragraphs>1</Paragraphs>
  <TotalTime>1</TotalTime>
  <ScaleCrop>false</ScaleCrop>
  <LinksUpToDate>false</LinksUpToDate>
  <CharactersWithSpaces>7760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2026-03-06T01:53:00Z</dcterms:created>
  <dc:creator>WPS_1717571575</dc:creator>
  <cp:lastModifiedBy>WPS_1717571575</cp:lastModifiedBy>
  <dcterms:modified xsi:type="dcterms:W3CDTF">2026-07-16T00:47:24Z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6850C7075C1945E1AF77602CED9DD038_13</vt:lpwstr>
  </property>
  <property fmtid="{D5CDD505-2E9C-101B-9397-08002B2CF9AE}" pid="4" name="KSOTemplateDocerSaveRecord">
    <vt:lpwstr>eyJoZGlkIjoiYmQyYjgzNDU5ZThlYThlNmQ5MmZkMjIyODRjZmE2YzYiLCJ1c2VySWQiOiIxMzk2Mjk1MzMxIn0=</vt:lpwstr>
  </property>
</Properties>
</file>