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1BF87">
      <w:pPr>
        <w:spacing w:line="360" w:lineRule="auto"/>
      </w:pPr>
    </w:p>
    <w:p w14:paraId="4937A98E">
      <w:pPr>
        <w:spacing w:line="360" w:lineRule="auto"/>
      </w:pPr>
    </w:p>
    <w:p w14:paraId="1191D6FE">
      <w:pPr>
        <w:spacing w:line="360" w:lineRule="auto"/>
      </w:pPr>
    </w:p>
    <w:p w14:paraId="56988D3B">
      <w:pPr>
        <w:spacing w:line="360" w:lineRule="auto"/>
      </w:pPr>
    </w:p>
    <w:p w14:paraId="3007C5FD">
      <w:pPr>
        <w:spacing w:line="360" w:lineRule="auto"/>
      </w:pPr>
    </w:p>
    <w:p w14:paraId="0BC374E6">
      <w:pPr>
        <w:jc w:val="center"/>
        <w:rPr>
          <w:rFonts w:hint="eastAsia" w:ascii="宋体" w:hAnsi="宋体" w:eastAsia="宋体" w:cs="宋体"/>
          <w:color w:val="000000"/>
          <w:kern w:val="2"/>
          <w:sz w:val="56"/>
          <w:szCs w:val="56"/>
          <w:lang w:val="en-US" w:eastAsia="zh-CN" w:bidi="ar-SA"/>
        </w:rPr>
      </w:pPr>
      <w:r>
        <w:rPr>
          <w:rFonts w:hint="eastAsia" w:ascii="宋体" w:hAnsi="宋体" w:eastAsia="宋体" w:cs="宋体"/>
          <w:color w:val="000000"/>
          <w:kern w:val="2"/>
          <w:sz w:val="56"/>
          <w:szCs w:val="56"/>
          <w:lang w:val="en-US" w:eastAsia="zh-CN" w:bidi="ar-SA"/>
        </w:rPr>
        <w:t>重庆市两江新区人民医院</w:t>
      </w:r>
    </w:p>
    <w:p w14:paraId="0211EC95">
      <w:pPr>
        <w:jc w:val="center"/>
        <w:rPr>
          <w:rFonts w:hint="eastAsia" w:ascii="宋体" w:hAnsi="宋体" w:eastAsia="宋体" w:cs="宋体"/>
          <w:color w:val="000000"/>
          <w:kern w:val="2"/>
          <w:sz w:val="56"/>
          <w:szCs w:val="56"/>
          <w:lang w:val="en-US" w:eastAsia="zh-CN" w:bidi="ar-SA"/>
        </w:rPr>
      </w:pPr>
    </w:p>
    <w:p w14:paraId="41E848BF">
      <w:pPr>
        <w:jc w:val="center"/>
        <w:rPr>
          <w:rFonts w:hint="eastAsia" w:ascii="宋体" w:hAnsi="宋体" w:eastAsia="宋体" w:cs="宋体"/>
          <w:color w:val="000000"/>
          <w:kern w:val="2"/>
          <w:sz w:val="56"/>
          <w:szCs w:val="56"/>
          <w:lang w:val="en-US" w:eastAsia="zh-CN" w:bidi="ar-SA"/>
        </w:rPr>
      </w:pPr>
      <w:r>
        <w:rPr>
          <w:rFonts w:hint="eastAsia" w:ascii="宋体" w:hAnsi="宋体" w:eastAsia="宋体" w:cs="宋体"/>
          <w:color w:val="000000"/>
          <w:kern w:val="2"/>
          <w:sz w:val="56"/>
          <w:szCs w:val="56"/>
          <w:lang w:val="en-US" w:eastAsia="zh-CN" w:bidi="ar-SA"/>
        </w:rPr>
        <w:t>传染病接口改造服务项目</w:t>
      </w:r>
    </w:p>
    <w:p w14:paraId="6BD926FE">
      <w:pPr>
        <w:jc w:val="center"/>
        <w:rPr>
          <w:rFonts w:hint="eastAsia" w:ascii="宋体" w:hAnsi="宋体" w:eastAsia="宋体" w:cs="宋体"/>
          <w:color w:val="000000"/>
          <w:kern w:val="2"/>
          <w:sz w:val="56"/>
          <w:szCs w:val="56"/>
          <w:lang w:val="en-US" w:eastAsia="zh-CN" w:bidi="ar-SA"/>
        </w:rPr>
      </w:pPr>
      <w:r>
        <w:rPr>
          <w:rFonts w:hint="eastAsia" w:ascii="宋体" w:hAnsi="宋体" w:eastAsia="宋体" w:cs="宋体"/>
          <w:color w:val="000000"/>
          <w:kern w:val="2"/>
          <w:sz w:val="56"/>
          <w:szCs w:val="56"/>
          <w:lang w:val="en-US" w:eastAsia="zh-CN" w:bidi="ar-SA"/>
        </w:rPr>
        <w:t>竞争性比选文件</w:t>
      </w:r>
    </w:p>
    <w:p w14:paraId="5A238E61">
      <w:pPr>
        <w:spacing w:line="360" w:lineRule="auto"/>
      </w:pPr>
    </w:p>
    <w:p w14:paraId="1E792296">
      <w:pPr>
        <w:spacing w:line="360" w:lineRule="auto"/>
      </w:pPr>
    </w:p>
    <w:p w14:paraId="273D56ED">
      <w:pPr>
        <w:spacing w:line="360" w:lineRule="auto"/>
      </w:pPr>
    </w:p>
    <w:p w14:paraId="683CACD9">
      <w:pPr>
        <w:spacing w:line="360" w:lineRule="auto"/>
      </w:pPr>
    </w:p>
    <w:p w14:paraId="34BA903E">
      <w:pPr>
        <w:spacing w:line="360" w:lineRule="auto"/>
      </w:pPr>
    </w:p>
    <w:p w14:paraId="3770D02C">
      <w:pPr>
        <w:spacing w:line="360" w:lineRule="auto"/>
      </w:pPr>
    </w:p>
    <w:p w14:paraId="12B6CA93">
      <w:pPr>
        <w:spacing w:line="360" w:lineRule="auto"/>
      </w:pPr>
    </w:p>
    <w:p w14:paraId="1F096987">
      <w:pPr>
        <w:spacing w:line="360" w:lineRule="auto"/>
      </w:pPr>
    </w:p>
    <w:p w14:paraId="5A682487">
      <w:pPr>
        <w:spacing w:after="100" w:line="400" w:lineRule="auto"/>
        <w:jc w:val="center"/>
      </w:pPr>
      <w:r>
        <w:rPr>
          <w:rFonts w:ascii="宋体" w:hAnsi="宋体" w:eastAsia="宋体" w:cs="宋体"/>
          <w:sz w:val="32"/>
          <w:szCs w:val="32"/>
        </w:rPr>
        <w:t>采  购  人：重庆市两江新区人民医院</w:t>
      </w:r>
    </w:p>
    <w:p w14:paraId="6CB3A6CE">
      <w:pPr>
        <w:spacing w:line="360" w:lineRule="auto"/>
      </w:pPr>
    </w:p>
    <w:p w14:paraId="28078B8A">
      <w:pPr>
        <w:spacing w:after="100" w:line="400" w:lineRule="auto"/>
        <w:jc w:val="center"/>
      </w:pPr>
      <w:r>
        <w:rPr>
          <w:rFonts w:ascii="宋体" w:hAnsi="宋体" w:eastAsia="宋体" w:cs="宋体"/>
          <w:sz w:val="32"/>
          <w:szCs w:val="32"/>
        </w:rPr>
        <w:t>二〇二六年七月</w:t>
      </w:r>
    </w:p>
    <w:p w14:paraId="01323AF0">
      <w:pPr>
        <w:sectPr>
          <w:pgSz w:w="11906" w:h="16838"/>
          <w:pgMar w:top="1440" w:right="1440" w:bottom="1440" w:left="1800" w:header="708" w:footer="708" w:gutter="0"/>
          <w:cols w:space="720" w:num="1"/>
          <w:docGrid w:linePitch="360" w:charSpace="0"/>
        </w:sectPr>
      </w:pPr>
    </w:p>
    <w:sdt>
      <w:sdtPr>
        <w:rPr>
          <w:rFonts w:ascii="宋体" w:hAnsi="宋体" w:eastAsia="宋体" w:cs="宋体"/>
          <w:sz w:val="21"/>
          <w:szCs w:val="32"/>
        </w:rPr>
        <w:id w:val="147462894"/>
        <w15:color w:val="DBDBDB"/>
        <w:docPartObj>
          <w:docPartGallery w:val="Table of Contents"/>
          <w:docPartUnique/>
        </w:docPartObj>
      </w:sdtPr>
      <w:sdtEndPr>
        <w:rPr>
          <w:rFonts w:ascii="宋体" w:hAnsi="宋体" w:eastAsia="宋体" w:cs="宋体"/>
          <w:sz w:val="21"/>
          <w:szCs w:val="32"/>
        </w:rPr>
      </w:sdtEndPr>
      <w:sdtContent>
        <w:p w14:paraId="1E519BD1">
          <w:pPr>
            <w:spacing w:before="0" w:beforeLines="0" w:after="0" w:afterLines="0" w:line="240" w:lineRule="auto"/>
            <w:ind w:left="0" w:leftChars="0" w:right="0" w:rightChars="0" w:firstLine="0" w:firstLineChars="0"/>
            <w:jc w:val="center"/>
            <w:rPr>
              <w:rFonts w:ascii="黑体" w:hAnsi="黑体" w:eastAsia="黑体" w:cs="黑体"/>
              <w:b/>
              <w:bCs/>
              <w:color w:val="000000"/>
              <w:sz w:val="44"/>
              <w:szCs w:val="44"/>
            </w:rPr>
          </w:pPr>
          <w:r>
            <w:rPr>
              <w:rFonts w:ascii="黑体" w:hAnsi="黑体" w:eastAsia="黑体" w:cs="黑体"/>
              <w:b/>
              <w:bCs/>
              <w:color w:val="000000"/>
              <w:sz w:val="44"/>
              <w:szCs w:val="44"/>
            </w:rPr>
            <w:t>目录</w:t>
          </w:r>
        </w:p>
        <w:p w14:paraId="2A264E0E">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TOC \o "1-1" \h \u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_Toc25988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目  录</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_Toc25988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2</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6766D925">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_Toc9977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第一篇  采购邀请书</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_Toc9977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3</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43199BBF">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_Toc28481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第二篇  项目服务要求</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_Toc28481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7</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6580F446">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_Toc27617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第三篇  项目商务需求</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_Toc27617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18</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03F51247">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_Toc17225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第四篇  竞争性比选程序及方法、评审标准、响应无效和采购终止</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_Toc17225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20</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30946887">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_Toc11303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第五篇  供应商须知</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_Toc11303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25</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1DC2988C">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_Toc24446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第六篇  合同草案条款和格式合同</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_Toc24446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28</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0DC21388">
          <w:pPr>
            <w:pStyle w:val="9"/>
            <w:tabs>
              <w:tab w:val="right" w:leader="dot" w:pos="9412"/>
            </w:tabs>
            <w:spacing w:before="120" w:after="120"/>
            <w:jc w:val="left"/>
            <w:rPr>
              <w:rFonts w:hint="eastAsia" w:ascii="宋体" w:hAnsi="宋体" w:eastAsia="宋体" w:cs="宋体"/>
              <w:b/>
              <w:bCs/>
              <w:caps/>
              <w:color w:val="000000"/>
              <w:kern w:val="2"/>
              <w:sz w:val="20"/>
              <w:szCs w:val="24"/>
              <w:lang w:val="en-US" w:eastAsia="zh-CN" w:bidi="ar-SA"/>
            </w:rPr>
          </w:pP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HYPERLINK \l _Toc2580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第七篇  响应文件编制要求</w:t>
          </w:r>
          <w:r>
            <w:rPr>
              <w:rFonts w:hint="eastAsia" w:ascii="宋体" w:hAnsi="宋体" w:eastAsia="宋体" w:cs="宋体"/>
              <w:b/>
              <w:bCs/>
              <w:caps/>
              <w:color w:val="000000"/>
              <w:kern w:val="2"/>
              <w:sz w:val="20"/>
              <w:szCs w:val="24"/>
              <w:lang w:val="en-US" w:eastAsia="zh-CN" w:bidi="ar-SA"/>
            </w:rPr>
            <w:tab/>
          </w:r>
          <w:r>
            <w:rPr>
              <w:rFonts w:hint="eastAsia" w:ascii="宋体" w:hAnsi="宋体" w:eastAsia="宋体" w:cs="宋体"/>
              <w:b/>
              <w:bCs/>
              <w:caps/>
              <w:color w:val="000000"/>
              <w:kern w:val="2"/>
              <w:sz w:val="20"/>
              <w:szCs w:val="24"/>
              <w:lang w:val="en-US" w:eastAsia="zh-CN" w:bidi="ar-SA"/>
            </w:rPr>
            <w:fldChar w:fldCharType="begin"/>
          </w:r>
          <w:r>
            <w:rPr>
              <w:rFonts w:hint="eastAsia" w:ascii="宋体" w:hAnsi="宋体" w:eastAsia="宋体" w:cs="宋体"/>
              <w:b/>
              <w:bCs/>
              <w:caps/>
              <w:color w:val="000000"/>
              <w:kern w:val="2"/>
              <w:sz w:val="20"/>
              <w:szCs w:val="24"/>
              <w:lang w:val="en-US" w:eastAsia="zh-CN" w:bidi="ar-SA"/>
            </w:rPr>
            <w:instrText xml:space="preserve"> PAGEREF _Toc2580 \h </w:instrText>
          </w:r>
          <w:r>
            <w:rPr>
              <w:rFonts w:hint="eastAsia" w:ascii="宋体" w:hAnsi="宋体" w:eastAsia="宋体" w:cs="宋体"/>
              <w:b/>
              <w:bCs/>
              <w:caps/>
              <w:color w:val="000000"/>
              <w:kern w:val="2"/>
              <w:sz w:val="20"/>
              <w:szCs w:val="24"/>
              <w:lang w:val="en-US" w:eastAsia="zh-CN" w:bidi="ar-SA"/>
            </w:rPr>
            <w:fldChar w:fldCharType="separate"/>
          </w:r>
          <w:r>
            <w:rPr>
              <w:rFonts w:hint="eastAsia" w:ascii="宋体" w:hAnsi="宋体" w:eastAsia="宋体" w:cs="宋体"/>
              <w:b/>
              <w:bCs/>
              <w:caps/>
              <w:color w:val="000000"/>
              <w:kern w:val="2"/>
              <w:sz w:val="20"/>
              <w:szCs w:val="24"/>
              <w:lang w:val="en-US" w:eastAsia="zh-CN" w:bidi="ar-SA"/>
            </w:rPr>
            <w:t>31</w:t>
          </w:r>
          <w:r>
            <w:rPr>
              <w:rFonts w:hint="eastAsia" w:ascii="宋体" w:hAnsi="宋体" w:eastAsia="宋体" w:cs="宋体"/>
              <w:b/>
              <w:bCs/>
              <w:caps/>
              <w:color w:val="000000"/>
              <w:kern w:val="2"/>
              <w:sz w:val="20"/>
              <w:szCs w:val="24"/>
              <w:lang w:val="en-US" w:eastAsia="zh-CN" w:bidi="ar-SA"/>
            </w:rPr>
            <w:fldChar w:fldCharType="end"/>
          </w:r>
          <w:r>
            <w:rPr>
              <w:rFonts w:hint="eastAsia" w:ascii="宋体" w:hAnsi="宋体" w:eastAsia="宋体" w:cs="宋体"/>
              <w:b/>
              <w:bCs/>
              <w:caps/>
              <w:color w:val="000000"/>
              <w:kern w:val="2"/>
              <w:sz w:val="20"/>
              <w:szCs w:val="24"/>
              <w:lang w:val="en-US" w:eastAsia="zh-CN" w:bidi="ar-SA"/>
            </w:rPr>
            <w:fldChar w:fldCharType="end"/>
          </w:r>
        </w:p>
        <w:p w14:paraId="302F1011">
          <w:pPr>
            <w:pStyle w:val="9"/>
            <w:tabs>
              <w:tab w:val="right" w:leader="dot" w:pos="9412"/>
            </w:tabs>
            <w:spacing w:before="120" w:after="120"/>
            <w:jc w:val="left"/>
          </w:pPr>
          <w:r>
            <w:rPr>
              <w:rFonts w:hint="eastAsia" w:ascii="宋体" w:hAnsi="宋体" w:eastAsia="宋体" w:cs="宋体"/>
              <w:b/>
              <w:bCs/>
              <w:caps/>
              <w:color w:val="000000"/>
              <w:kern w:val="2"/>
              <w:sz w:val="20"/>
              <w:szCs w:val="24"/>
              <w:lang w:val="en-US" w:eastAsia="zh-CN" w:bidi="ar-SA"/>
            </w:rPr>
            <w:fldChar w:fldCharType="end"/>
          </w:r>
        </w:p>
      </w:sdtContent>
    </w:sdt>
    <w:p w14:paraId="44140C74"/>
    <w:p w14:paraId="383AA47C">
      <w:pPr>
        <w:tabs>
          <w:tab w:val="left" w:pos="1547"/>
        </w:tabs>
      </w:pPr>
      <w:r>
        <w:rPr>
          <w:rFonts w:hint="eastAsia"/>
          <w:lang w:eastAsia="zh-CN"/>
        </w:rPr>
        <w:tab/>
      </w:r>
      <w:r>
        <w:fldChar w:fldCharType="begin"/>
      </w:r>
      <w:r>
        <w:instrText xml:space="preserve">TOC \h \o "1-3"</w:instrText>
      </w:r>
      <w:r>
        <w:fldChar w:fldCharType="separate"/>
      </w:r>
    </w:p>
    <w:p w14:paraId="6DB49F5B">
      <w:r>
        <w:fldChar w:fldCharType="end"/>
      </w:r>
    </w:p>
    <w:p w14:paraId="0DA61372">
      <w:r>
        <w:br w:type="page"/>
      </w:r>
    </w:p>
    <w:p w14:paraId="299264F3">
      <w:pPr>
        <w:pStyle w:val="2"/>
        <w:spacing w:before="240" w:after="120" w:line="400" w:lineRule="auto"/>
        <w:jc w:val="center"/>
      </w:pPr>
      <w:bookmarkStart w:id="0" w:name="_Toc9977"/>
      <w:r>
        <w:rPr>
          <w:rFonts w:ascii="黑体" w:hAnsi="黑体" w:eastAsia="黑体" w:cs="黑体"/>
          <w:b/>
          <w:bCs/>
          <w:sz w:val="44"/>
          <w:szCs w:val="44"/>
        </w:rPr>
        <w:t>第一篇  采购邀请书</w:t>
      </w:r>
      <w:bookmarkEnd w:id="0"/>
    </w:p>
    <w:p w14:paraId="65BCBD23">
      <w:pPr>
        <w:spacing w:after="60" w:line="360" w:lineRule="auto"/>
        <w:jc w:val="both"/>
      </w:pPr>
      <w:r>
        <w:rPr>
          <w:rFonts w:ascii="宋体" w:hAnsi="宋体" w:eastAsia="宋体" w:cs="宋体"/>
          <w:sz w:val="32"/>
          <w:szCs w:val="32"/>
        </w:rPr>
        <w:t>重庆市两江新区人民医院对传染病接口改造服务项目进行采购。欢迎有资格的供应商前来参与。</w:t>
      </w:r>
    </w:p>
    <w:p w14:paraId="5EFB08BF">
      <w:pPr>
        <w:pStyle w:val="3"/>
        <w:spacing w:before="160" w:after="80" w:line="360" w:lineRule="auto"/>
      </w:pPr>
      <w:r>
        <w:rPr>
          <w:rFonts w:ascii="黑体" w:hAnsi="黑体" w:eastAsia="黑体" w:cs="黑体"/>
          <w:b/>
          <w:bCs/>
          <w:sz w:val="32"/>
          <w:szCs w:val="32"/>
        </w:rPr>
        <w:t>一、采购内容</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31"/>
        <w:gridCol w:w="1327"/>
        <w:gridCol w:w="1120"/>
        <w:gridCol w:w="1667"/>
        <w:gridCol w:w="2541"/>
      </w:tblGrid>
      <w:tr w14:paraId="05BE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00" w:type="dxa"/>
            <w:tcBorders>
              <w:top w:val="single" w:color="000000" w:sz="0" w:space="0"/>
              <w:left w:val="single" w:color="000000" w:sz="0" w:space="0"/>
              <w:bottom w:val="single" w:color="000000" w:sz="0" w:space="0"/>
              <w:right w:val="single" w:color="000000" w:sz="0" w:space="0"/>
            </w:tcBorders>
            <w:shd w:val="clear" w:color="auto" w:fill="D5E8F0"/>
          </w:tcPr>
          <w:p w14:paraId="0C04EB1F">
            <w:pPr>
              <w:spacing w:line="300" w:lineRule="auto"/>
              <w:jc w:val="center"/>
            </w:pPr>
            <w:r>
              <w:rPr>
                <w:rFonts w:ascii="宋体" w:hAnsi="宋体" w:eastAsia="宋体" w:cs="宋体"/>
                <w:sz w:val="28"/>
                <w:szCs w:val="28"/>
              </w:rPr>
              <w:t>项目名称</w:t>
            </w:r>
          </w:p>
        </w:tc>
        <w:tc>
          <w:tcPr>
            <w:tcW w:w="1400" w:type="dxa"/>
            <w:tcBorders>
              <w:top w:val="single" w:color="000000" w:sz="0" w:space="0"/>
              <w:left w:val="single" w:color="000000" w:sz="0" w:space="0"/>
              <w:bottom w:val="single" w:color="000000" w:sz="0" w:space="0"/>
              <w:right w:val="single" w:color="000000" w:sz="0" w:space="0"/>
            </w:tcBorders>
            <w:shd w:val="clear" w:color="auto" w:fill="D5E8F0"/>
          </w:tcPr>
          <w:p w14:paraId="4228811A">
            <w:pPr>
              <w:spacing w:line="300" w:lineRule="auto"/>
              <w:jc w:val="center"/>
            </w:pPr>
            <w:r>
              <w:rPr>
                <w:rFonts w:ascii="宋体" w:hAnsi="宋体" w:eastAsia="宋体" w:cs="宋体"/>
                <w:sz w:val="28"/>
                <w:szCs w:val="28"/>
              </w:rPr>
              <w:t>最高限价（万元）</w:t>
            </w:r>
          </w:p>
        </w:tc>
        <w:tc>
          <w:tcPr>
            <w:tcW w:w="1200" w:type="dxa"/>
            <w:tcBorders>
              <w:top w:val="single" w:color="000000" w:sz="0" w:space="0"/>
              <w:left w:val="single" w:color="000000" w:sz="0" w:space="0"/>
              <w:bottom w:val="single" w:color="000000" w:sz="0" w:space="0"/>
              <w:right w:val="single" w:color="000000" w:sz="0" w:space="0"/>
            </w:tcBorders>
            <w:shd w:val="clear" w:color="auto" w:fill="D5E8F0"/>
          </w:tcPr>
          <w:p w14:paraId="797E43FA">
            <w:pPr>
              <w:spacing w:line="300" w:lineRule="auto"/>
              <w:jc w:val="center"/>
            </w:pPr>
            <w:r>
              <w:rPr>
                <w:rFonts w:ascii="宋体" w:hAnsi="宋体" w:eastAsia="宋体" w:cs="宋体"/>
                <w:sz w:val="28"/>
                <w:szCs w:val="28"/>
              </w:rPr>
              <w:t>成交服务商数量</w:t>
            </w:r>
          </w:p>
        </w:tc>
        <w:tc>
          <w:tcPr>
            <w:tcW w:w="1800" w:type="dxa"/>
            <w:tcBorders>
              <w:top w:val="single" w:color="000000" w:sz="0" w:space="0"/>
              <w:left w:val="single" w:color="000000" w:sz="0" w:space="0"/>
              <w:bottom w:val="single" w:color="000000" w:sz="0" w:space="0"/>
              <w:right w:val="single" w:color="000000" w:sz="0" w:space="0"/>
            </w:tcBorders>
            <w:shd w:val="clear" w:color="auto" w:fill="D5E8F0"/>
          </w:tcPr>
          <w:p w14:paraId="12EA0FCF">
            <w:pPr>
              <w:spacing w:line="300" w:lineRule="auto"/>
              <w:jc w:val="center"/>
            </w:pPr>
            <w:r>
              <w:rPr>
                <w:rFonts w:ascii="宋体" w:hAnsi="宋体" w:eastAsia="宋体" w:cs="宋体"/>
                <w:sz w:val="28"/>
                <w:szCs w:val="28"/>
              </w:rPr>
              <w:t>服务期</w:t>
            </w:r>
          </w:p>
        </w:tc>
        <w:tc>
          <w:tcPr>
            <w:tcW w:w="2760" w:type="dxa"/>
            <w:tcBorders>
              <w:top w:val="single" w:color="000000" w:sz="0" w:space="0"/>
              <w:left w:val="single" w:color="000000" w:sz="0" w:space="0"/>
              <w:bottom w:val="single" w:color="000000" w:sz="0" w:space="0"/>
              <w:right w:val="single" w:color="000000" w:sz="0" w:space="0"/>
            </w:tcBorders>
            <w:shd w:val="clear" w:color="auto" w:fill="D5E8F0"/>
          </w:tcPr>
          <w:p w14:paraId="2CDD04D6">
            <w:pPr>
              <w:spacing w:line="300" w:lineRule="auto"/>
              <w:jc w:val="center"/>
            </w:pPr>
            <w:r>
              <w:rPr>
                <w:rFonts w:ascii="宋体" w:hAnsi="宋体" w:eastAsia="宋体" w:cs="宋体"/>
                <w:sz w:val="28"/>
                <w:szCs w:val="28"/>
              </w:rPr>
              <w:t>项目实施地点</w:t>
            </w:r>
          </w:p>
        </w:tc>
      </w:tr>
      <w:tr w14:paraId="2E52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000000" w:sz="0" w:space="0"/>
              <w:left w:val="single" w:color="000000" w:sz="0" w:space="0"/>
              <w:bottom w:val="single" w:color="000000" w:sz="0" w:space="0"/>
              <w:right w:val="single" w:color="000000" w:sz="0" w:space="0"/>
            </w:tcBorders>
          </w:tcPr>
          <w:p w14:paraId="2DA9A58C">
            <w:pPr>
              <w:spacing w:line="300" w:lineRule="auto"/>
              <w:jc w:val="center"/>
            </w:pPr>
            <w:r>
              <w:rPr>
                <w:rFonts w:ascii="宋体" w:hAnsi="宋体" w:eastAsia="宋体" w:cs="宋体"/>
                <w:sz w:val="28"/>
                <w:szCs w:val="28"/>
              </w:rPr>
              <w:t>传染病接口改造服务</w:t>
            </w:r>
          </w:p>
        </w:tc>
        <w:tc>
          <w:tcPr>
            <w:tcW w:w="1400" w:type="dxa"/>
            <w:tcBorders>
              <w:top w:val="single" w:color="000000" w:sz="0" w:space="0"/>
              <w:left w:val="single" w:color="000000" w:sz="0" w:space="0"/>
              <w:bottom w:val="single" w:color="000000" w:sz="0" w:space="0"/>
              <w:right w:val="single" w:color="000000" w:sz="0" w:space="0"/>
            </w:tcBorders>
          </w:tcPr>
          <w:p w14:paraId="2B6DC049">
            <w:pPr>
              <w:spacing w:line="300" w:lineRule="auto"/>
              <w:jc w:val="left"/>
            </w:pPr>
            <w:r>
              <w:rPr>
                <w:rFonts w:ascii="宋体" w:hAnsi="宋体" w:eastAsia="宋体" w:cs="宋体"/>
                <w:sz w:val="28"/>
                <w:szCs w:val="28"/>
              </w:rPr>
              <w:t>4.8</w:t>
            </w:r>
          </w:p>
        </w:tc>
        <w:tc>
          <w:tcPr>
            <w:tcW w:w="1200" w:type="dxa"/>
            <w:tcBorders>
              <w:top w:val="single" w:color="000000" w:sz="0" w:space="0"/>
              <w:left w:val="single" w:color="000000" w:sz="0" w:space="0"/>
              <w:bottom w:val="single" w:color="000000" w:sz="0" w:space="0"/>
              <w:right w:val="single" w:color="000000" w:sz="0" w:space="0"/>
            </w:tcBorders>
          </w:tcPr>
          <w:p w14:paraId="5B9B8647">
            <w:pPr>
              <w:spacing w:line="300" w:lineRule="auto"/>
              <w:jc w:val="left"/>
            </w:pPr>
            <w:r>
              <w:rPr>
                <w:rFonts w:ascii="宋体" w:hAnsi="宋体" w:eastAsia="宋体" w:cs="宋体"/>
                <w:sz w:val="28"/>
                <w:szCs w:val="28"/>
              </w:rPr>
              <w:t>1</w:t>
            </w:r>
          </w:p>
        </w:tc>
        <w:tc>
          <w:tcPr>
            <w:tcW w:w="1800" w:type="dxa"/>
            <w:tcBorders>
              <w:top w:val="single" w:color="000000" w:sz="0" w:space="0"/>
              <w:left w:val="single" w:color="000000" w:sz="0" w:space="0"/>
              <w:bottom w:val="single" w:color="000000" w:sz="0" w:space="0"/>
              <w:right w:val="single" w:color="000000" w:sz="0" w:space="0"/>
            </w:tcBorders>
          </w:tcPr>
          <w:p w14:paraId="6FEA83B7">
            <w:pPr>
              <w:spacing w:line="300" w:lineRule="auto"/>
              <w:jc w:val="left"/>
            </w:pPr>
            <w:r>
              <w:rPr>
                <w:rFonts w:hint="eastAsia" w:cs="宋体"/>
                <w:sz w:val="28"/>
                <w:szCs w:val="28"/>
                <w:lang w:val="en-US" w:eastAsia="zh-CN"/>
              </w:rPr>
              <w:t>验收合格</w:t>
            </w:r>
            <w:r>
              <w:rPr>
                <w:rFonts w:ascii="宋体" w:hAnsi="宋体" w:eastAsia="宋体" w:cs="宋体"/>
                <w:sz w:val="28"/>
                <w:szCs w:val="28"/>
              </w:rPr>
              <w:t>后1年</w:t>
            </w:r>
          </w:p>
        </w:tc>
        <w:tc>
          <w:tcPr>
            <w:tcW w:w="2760" w:type="dxa"/>
            <w:tcBorders>
              <w:top w:val="single" w:color="000000" w:sz="0" w:space="0"/>
              <w:left w:val="single" w:color="000000" w:sz="0" w:space="0"/>
              <w:bottom w:val="single" w:color="000000" w:sz="0" w:space="0"/>
              <w:right w:val="single" w:color="000000" w:sz="0" w:space="0"/>
            </w:tcBorders>
          </w:tcPr>
          <w:p w14:paraId="1334CE19">
            <w:pPr>
              <w:spacing w:line="300" w:lineRule="auto"/>
              <w:jc w:val="left"/>
            </w:pPr>
            <w:r>
              <w:rPr>
                <w:rFonts w:ascii="宋体" w:hAnsi="宋体" w:eastAsia="宋体" w:cs="宋体"/>
                <w:sz w:val="28"/>
                <w:szCs w:val="28"/>
              </w:rPr>
              <w:t>重庆市两江新区人民医院</w:t>
            </w:r>
          </w:p>
        </w:tc>
      </w:tr>
    </w:tbl>
    <w:p w14:paraId="782213D1">
      <w:pPr>
        <w:pStyle w:val="3"/>
        <w:spacing w:before="160" w:after="80" w:line="360" w:lineRule="auto"/>
      </w:pPr>
      <w:r>
        <w:rPr>
          <w:rFonts w:ascii="黑体" w:hAnsi="黑体" w:eastAsia="黑体" w:cs="黑体"/>
          <w:b/>
          <w:bCs/>
          <w:sz w:val="32"/>
          <w:szCs w:val="32"/>
        </w:rPr>
        <w:t>二、资金来源</w:t>
      </w:r>
    </w:p>
    <w:p w14:paraId="0EFB6186">
      <w:pPr>
        <w:spacing w:after="60" w:line="360" w:lineRule="auto"/>
        <w:jc w:val="both"/>
      </w:pPr>
      <w:r>
        <w:rPr>
          <w:rFonts w:ascii="宋体" w:hAnsi="宋体" w:eastAsia="宋体" w:cs="宋体"/>
          <w:sz w:val="32"/>
          <w:szCs w:val="32"/>
        </w:rPr>
        <w:t>业主自有资金。</w:t>
      </w:r>
    </w:p>
    <w:p w14:paraId="7903B672">
      <w:pPr>
        <w:pStyle w:val="3"/>
        <w:spacing w:before="160" w:after="80" w:line="360" w:lineRule="auto"/>
      </w:pPr>
      <w:r>
        <w:rPr>
          <w:rFonts w:ascii="黑体" w:hAnsi="黑体" w:eastAsia="黑体" w:cs="黑体"/>
          <w:b/>
          <w:bCs/>
          <w:sz w:val="32"/>
          <w:szCs w:val="32"/>
        </w:rPr>
        <w:t>三、供应商资格条件</w:t>
      </w:r>
    </w:p>
    <w:p w14:paraId="7666949A">
      <w:pPr>
        <w:spacing w:after="60" w:line="360" w:lineRule="auto"/>
        <w:jc w:val="both"/>
      </w:pPr>
      <w:r>
        <w:rPr>
          <w:rFonts w:ascii="宋体" w:hAnsi="宋体" w:eastAsia="宋体" w:cs="宋体"/>
          <w:sz w:val="32"/>
          <w:szCs w:val="32"/>
        </w:rPr>
        <w:t>（一）基本资格条件</w:t>
      </w:r>
    </w:p>
    <w:p w14:paraId="074A0897">
      <w:pPr>
        <w:spacing w:after="60" w:line="360" w:lineRule="auto"/>
        <w:ind w:firstLine="640"/>
        <w:jc w:val="both"/>
      </w:pPr>
      <w:r>
        <w:rPr>
          <w:rFonts w:ascii="宋体" w:hAnsi="宋体" w:eastAsia="宋体" w:cs="宋体"/>
          <w:sz w:val="32"/>
          <w:szCs w:val="32"/>
        </w:rPr>
        <w:t>1、具有独立承担民事责任的能力；</w:t>
      </w:r>
    </w:p>
    <w:p w14:paraId="2B7F63E3">
      <w:pPr>
        <w:spacing w:after="60" w:line="360" w:lineRule="auto"/>
        <w:ind w:firstLine="640"/>
        <w:jc w:val="both"/>
      </w:pPr>
      <w:r>
        <w:rPr>
          <w:rFonts w:ascii="宋体" w:hAnsi="宋体" w:eastAsia="宋体" w:cs="宋体"/>
          <w:sz w:val="32"/>
          <w:szCs w:val="32"/>
        </w:rPr>
        <w:t>2、具有良好的商业信誉；</w:t>
      </w:r>
    </w:p>
    <w:p w14:paraId="0E4F6576">
      <w:pPr>
        <w:spacing w:after="60" w:line="360" w:lineRule="auto"/>
        <w:ind w:firstLine="640"/>
        <w:jc w:val="both"/>
      </w:pPr>
      <w:r>
        <w:rPr>
          <w:rFonts w:ascii="宋体" w:hAnsi="宋体" w:eastAsia="宋体" w:cs="宋体"/>
          <w:sz w:val="32"/>
          <w:szCs w:val="32"/>
        </w:rPr>
        <w:t>3、具有履行合同所必需的专业能力；</w:t>
      </w:r>
    </w:p>
    <w:p w14:paraId="01DCB5FB">
      <w:pPr>
        <w:spacing w:after="60" w:line="360" w:lineRule="auto"/>
        <w:ind w:firstLine="640"/>
        <w:jc w:val="both"/>
      </w:pPr>
      <w:r>
        <w:rPr>
          <w:rFonts w:ascii="宋体" w:hAnsi="宋体" w:eastAsia="宋体" w:cs="宋体"/>
          <w:sz w:val="32"/>
          <w:szCs w:val="32"/>
        </w:rPr>
        <w:t>4、有依法缴纳税收和社会保障资金的良好记录；</w:t>
      </w:r>
    </w:p>
    <w:p w14:paraId="46717108">
      <w:pPr>
        <w:spacing w:after="60" w:line="360" w:lineRule="auto"/>
        <w:ind w:firstLine="640"/>
        <w:jc w:val="both"/>
      </w:pPr>
      <w:r>
        <w:rPr>
          <w:rFonts w:ascii="宋体" w:hAnsi="宋体" w:eastAsia="宋体" w:cs="宋体"/>
          <w:sz w:val="32"/>
          <w:szCs w:val="32"/>
        </w:rPr>
        <w:t>5、参加政府采购活动前三年内，在经营活动中没有重大违法记录；</w:t>
      </w:r>
    </w:p>
    <w:p w14:paraId="2E067B50">
      <w:pPr>
        <w:spacing w:after="60" w:line="360" w:lineRule="auto"/>
        <w:ind w:firstLine="640"/>
        <w:jc w:val="both"/>
      </w:pPr>
      <w:r>
        <w:rPr>
          <w:rFonts w:ascii="宋体" w:hAnsi="宋体" w:eastAsia="宋体" w:cs="宋体"/>
          <w:sz w:val="32"/>
          <w:szCs w:val="32"/>
        </w:rPr>
        <w:t>6、法律、行政法规规定的其他条件。</w:t>
      </w:r>
    </w:p>
    <w:p w14:paraId="0CEEB8AF">
      <w:pPr>
        <w:spacing w:after="60" w:line="360" w:lineRule="auto"/>
        <w:jc w:val="both"/>
      </w:pPr>
      <w:r>
        <w:rPr>
          <w:rFonts w:ascii="宋体" w:hAnsi="宋体" w:eastAsia="宋体" w:cs="宋体"/>
          <w:sz w:val="32"/>
          <w:szCs w:val="32"/>
        </w:rPr>
        <w:t>（二）特定资格条件</w:t>
      </w:r>
    </w:p>
    <w:p w14:paraId="6D8C0D86">
      <w:pPr>
        <w:spacing w:after="60" w:line="360" w:lineRule="auto"/>
        <w:ind w:firstLine="640"/>
        <w:jc w:val="both"/>
      </w:pPr>
      <w:r>
        <w:rPr>
          <w:rFonts w:ascii="宋体" w:hAnsi="宋体" w:eastAsia="宋体" w:cs="宋体"/>
          <w:sz w:val="32"/>
          <w:szCs w:val="32"/>
        </w:rPr>
        <w:t>无</w:t>
      </w:r>
    </w:p>
    <w:p w14:paraId="6514489A">
      <w:pPr>
        <w:pStyle w:val="3"/>
        <w:spacing w:before="160" w:after="80" w:line="360" w:lineRule="auto"/>
        <w:ind w:firstLine="321" w:firstLineChars="100"/>
      </w:pPr>
      <w:r>
        <w:rPr>
          <w:rFonts w:ascii="黑体" w:hAnsi="黑体" w:eastAsia="黑体" w:cs="黑体"/>
          <w:b/>
          <w:bCs/>
          <w:sz w:val="32"/>
          <w:szCs w:val="32"/>
        </w:rPr>
        <w:t>四、竞采文件的报名获取</w:t>
      </w:r>
    </w:p>
    <w:p w14:paraId="262DAC33">
      <w:pPr>
        <w:spacing w:after="60" w:line="360" w:lineRule="auto"/>
        <w:ind w:firstLine="640" w:firstLineChars="200"/>
        <w:jc w:val="both"/>
        <w:rPr>
          <w:rFonts w:ascii="宋体" w:hAnsi="宋体" w:eastAsia="宋体" w:cs="宋体"/>
          <w:sz w:val="32"/>
          <w:szCs w:val="32"/>
        </w:rPr>
      </w:pPr>
      <w:r>
        <w:rPr>
          <w:rFonts w:ascii="宋体" w:hAnsi="宋体" w:eastAsia="宋体" w:cs="宋体"/>
          <w:sz w:val="32"/>
          <w:szCs w:val="32"/>
        </w:rPr>
        <w:t>凡有意参加的供应商，请于公告发布之日起至提交首次响应文件截止时间之前，自行联系采购人相关人员或直接从重庆市两江新区人民医院官网https://www.ljxqrmyy.cn/index.shtml获取项目资料，无论供应商下载与否，均视为已知晓所有竞争性比选实质性要求内容。建议供应商对采购人单位情况进行现场勘察。本次踏勘不强制要求（注：勘查提前联系采购人，勘查地点：重庆市两江新区人民医院 地址：重庆市两江新区金开大道2号）。本项目不组织统一现场踏勘，请各供应商自行提前预约前往现场踏勘并充分了解项目情况及任何其它足以影响报价的情况，任何因忽视或误解项目情况而导致的索赔申请将不获批准。现场踏勘所发生的费用由供应商承担。</w:t>
      </w:r>
    </w:p>
    <w:p w14:paraId="7885AEAD">
      <w:pPr>
        <w:pStyle w:val="3"/>
        <w:spacing w:before="160" w:after="80" w:line="360" w:lineRule="auto"/>
      </w:pPr>
      <w:r>
        <w:rPr>
          <w:rFonts w:ascii="黑体" w:hAnsi="黑体" w:eastAsia="黑体" w:cs="黑体"/>
          <w:b/>
          <w:bCs/>
          <w:sz w:val="32"/>
          <w:szCs w:val="32"/>
        </w:rPr>
        <w:t>五、参选文件的递交与说明</w:t>
      </w:r>
    </w:p>
    <w:p w14:paraId="3773801B">
      <w:pPr>
        <w:spacing w:after="60" w:line="360" w:lineRule="auto"/>
        <w:jc w:val="both"/>
      </w:pPr>
      <w:r>
        <w:rPr>
          <w:rFonts w:ascii="宋体" w:hAnsi="宋体" w:eastAsia="宋体" w:cs="宋体"/>
          <w:sz w:val="32"/>
          <w:szCs w:val="32"/>
        </w:rPr>
        <w:t>1.报价要求：报价为人民币报价。</w:t>
      </w:r>
    </w:p>
    <w:p w14:paraId="01458275">
      <w:pPr>
        <w:spacing w:after="60" w:line="360" w:lineRule="auto"/>
        <w:jc w:val="both"/>
      </w:pPr>
      <w:r>
        <w:rPr>
          <w:rFonts w:ascii="宋体" w:hAnsi="宋体" w:eastAsia="宋体" w:cs="宋体"/>
          <w:sz w:val="32"/>
          <w:szCs w:val="32"/>
        </w:rPr>
        <w:t>2.响应文件递交的时间为2026年</w:t>
      </w:r>
      <w:r>
        <w:rPr>
          <w:rFonts w:hint="eastAsia" w:cs="宋体"/>
          <w:sz w:val="32"/>
          <w:szCs w:val="32"/>
          <w:lang w:val="en-US" w:eastAsia="zh-CN"/>
        </w:rPr>
        <w:t>8</w:t>
      </w:r>
      <w:r>
        <w:rPr>
          <w:rFonts w:ascii="宋体" w:hAnsi="宋体" w:eastAsia="宋体" w:cs="宋体"/>
          <w:sz w:val="32"/>
          <w:szCs w:val="32"/>
        </w:rPr>
        <w:t>月</w:t>
      </w:r>
      <w:r>
        <w:rPr>
          <w:rFonts w:hint="eastAsia" w:cs="宋体"/>
          <w:sz w:val="32"/>
          <w:szCs w:val="32"/>
          <w:lang w:val="en-US" w:eastAsia="zh-CN"/>
        </w:rPr>
        <w:t>6</w:t>
      </w:r>
      <w:r>
        <w:rPr>
          <w:rFonts w:ascii="宋体" w:hAnsi="宋体" w:eastAsia="宋体" w:cs="宋体"/>
          <w:sz w:val="32"/>
          <w:szCs w:val="32"/>
        </w:rPr>
        <w:t>日</w:t>
      </w:r>
      <w:r>
        <w:rPr>
          <w:rFonts w:hint="eastAsia" w:cs="宋体"/>
          <w:sz w:val="32"/>
          <w:szCs w:val="32"/>
          <w:lang w:val="en-US" w:eastAsia="zh-CN"/>
        </w:rPr>
        <w:t>8</w:t>
      </w:r>
      <w:r>
        <w:rPr>
          <w:rFonts w:ascii="宋体" w:hAnsi="宋体" w:eastAsia="宋体" w:cs="宋体"/>
          <w:sz w:val="32"/>
          <w:szCs w:val="32"/>
        </w:rPr>
        <w:t>:</w:t>
      </w:r>
      <w:r>
        <w:rPr>
          <w:rFonts w:hint="eastAsia" w:cs="宋体"/>
          <w:sz w:val="32"/>
          <w:szCs w:val="32"/>
          <w:lang w:val="en-US" w:eastAsia="zh-CN"/>
        </w:rPr>
        <w:t>0</w:t>
      </w:r>
      <w:r>
        <w:rPr>
          <w:rFonts w:ascii="宋体" w:hAnsi="宋体" w:eastAsia="宋体" w:cs="宋体"/>
          <w:sz w:val="32"/>
          <w:szCs w:val="32"/>
        </w:rPr>
        <w:t>0-</w:t>
      </w:r>
      <w:r>
        <w:rPr>
          <w:rFonts w:hint="eastAsia" w:cs="宋体"/>
          <w:sz w:val="32"/>
          <w:szCs w:val="32"/>
          <w:lang w:val="en-US" w:eastAsia="zh-CN"/>
        </w:rPr>
        <w:t>9</w:t>
      </w:r>
      <w:r>
        <w:rPr>
          <w:rFonts w:ascii="宋体" w:hAnsi="宋体" w:eastAsia="宋体" w:cs="宋体"/>
          <w:sz w:val="32"/>
          <w:szCs w:val="32"/>
        </w:rPr>
        <w:t>:</w:t>
      </w:r>
      <w:r>
        <w:rPr>
          <w:rFonts w:hint="eastAsia" w:cs="宋体"/>
          <w:sz w:val="32"/>
          <w:szCs w:val="32"/>
          <w:lang w:val="en-US" w:eastAsia="zh-CN"/>
        </w:rPr>
        <w:t>0</w:t>
      </w:r>
      <w:r>
        <w:rPr>
          <w:rFonts w:ascii="宋体" w:hAnsi="宋体" w:eastAsia="宋体" w:cs="宋体"/>
          <w:sz w:val="32"/>
          <w:szCs w:val="32"/>
        </w:rPr>
        <w:t>0。</w:t>
      </w:r>
    </w:p>
    <w:p w14:paraId="7F192F46">
      <w:pPr>
        <w:spacing w:after="60" w:line="360" w:lineRule="auto"/>
        <w:jc w:val="both"/>
      </w:pPr>
      <w:r>
        <w:rPr>
          <w:rFonts w:ascii="宋体" w:hAnsi="宋体" w:eastAsia="宋体" w:cs="宋体"/>
          <w:sz w:val="32"/>
          <w:szCs w:val="32"/>
        </w:rPr>
        <w:t>3.响应文件开启地点为：重庆市两江新区人民医院科教楼6楼601会议室。逾期送达的参选文件将被拒绝。</w:t>
      </w:r>
    </w:p>
    <w:p w14:paraId="610137EA">
      <w:pPr>
        <w:spacing w:after="60" w:line="360" w:lineRule="auto"/>
        <w:jc w:val="both"/>
      </w:pPr>
      <w:r>
        <w:rPr>
          <w:rFonts w:ascii="宋体" w:hAnsi="宋体" w:eastAsia="宋体" w:cs="宋体"/>
          <w:sz w:val="32"/>
          <w:szCs w:val="32"/>
        </w:rPr>
        <w:t>4.竞争性比选时间为：2026年</w:t>
      </w:r>
      <w:r>
        <w:rPr>
          <w:rFonts w:hint="eastAsia" w:cs="宋体"/>
          <w:sz w:val="32"/>
          <w:szCs w:val="32"/>
          <w:lang w:val="en-US" w:eastAsia="zh-CN"/>
        </w:rPr>
        <w:t>8</w:t>
      </w:r>
      <w:r>
        <w:rPr>
          <w:rFonts w:ascii="宋体" w:hAnsi="宋体" w:eastAsia="宋体" w:cs="宋体"/>
          <w:sz w:val="32"/>
          <w:szCs w:val="32"/>
        </w:rPr>
        <w:t>月</w:t>
      </w:r>
      <w:r>
        <w:rPr>
          <w:rFonts w:hint="eastAsia" w:cs="宋体"/>
          <w:sz w:val="32"/>
          <w:szCs w:val="32"/>
          <w:lang w:val="en-US" w:eastAsia="zh-CN"/>
        </w:rPr>
        <w:t>6</w:t>
      </w:r>
      <w:r>
        <w:rPr>
          <w:rFonts w:ascii="宋体" w:hAnsi="宋体" w:eastAsia="宋体" w:cs="宋体"/>
          <w:sz w:val="32"/>
          <w:szCs w:val="32"/>
        </w:rPr>
        <w:t>日</w:t>
      </w:r>
      <w:r>
        <w:rPr>
          <w:rFonts w:hint="eastAsia" w:cs="宋体"/>
          <w:sz w:val="32"/>
          <w:szCs w:val="32"/>
          <w:lang w:val="en-US" w:eastAsia="zh-CN"/>
        </w:rPr>
        <w:t>9</w:t>
      </w:r>
      <w:r>
        <w:rPr>
          <w:rFonts w:ascii="宋体" w:hAnsi="宋体" w:eastAsia="宋体" w:cs="宋体"/>
          <w:sz w:val="32"/>
          <w:szCs w:val="32"/>
        </w:rPr>
        <w:t>:</w:t>
      </w:r>
      <w:r>
        <w:rPr>
          <w:rFonts w:hint="eastAsia" w:cs="宋体"/>
          <w:sz w:val="32"/>
          <w:szCs w:val="32"/>
          <w:lang w:val="en-US" w:eastAsia="zh-CN"/>
        </w:rPr>
        <w:t>0</w:t>
      </w:r>
      <w:r>
        <w:rPr>
          <w:rFonts w:ascii="宋体" w:hAnsi="宋体" w:eastAsia="宋体" w:cs="宋体"/>
          <w:sz w:val="32"/>
          <w:szCs w:val="32"/>
        </w:rPr>
        <w:t>0。</w:t>
      </w:r>
    </w:p>
    <w:p w14:paraId="6C5655AC">
      <w:pPr>
        <w:spacing w:after="60" w:line="360" w:lineRule="auto"/>
        <w:jc w:val="both"/>
      </w:pPr>
      <w:r>
        <w:rPr>
          <w:rFonts w:ascii="宋体" w:hAnsi="宋体" w:eastAsia="宋体" w:cs="宋体"/>
          <w:sz w:val="32"/>
          <w:szCs w:val="32"/>
        </w:rPr>
        <w:t>5.出现以下情形时，不予接收参选文件：</w:t>
      </w:r>
    </w:p>
    <w:p w14:paraId="6AE69011">
      <w:pPr>
        <w:spacing w:after="60" w:line="360" w:lineRule="auto"/>
        <w:ind w:firstLine="640"/>
        <w:jc w:val="both"/>
      </w:pPr>
      <w:r>
        <w:rPr>
          <w:rFonts w:ascii="宋体" w:hAnsi="宋体" w:eastAsia="宋体" w:cs="宋体"/>
          <w:sz w:val="32"/>
          <w:szCs w:val="32"/>
        </w:rPr>
        <w:t>（1）逾期送达或者未送达指定地点的。</w:t>
      </w:r>
    </w:p>
    <w:p w14:paraId="144C2CDA">
      <w:pPr>
        <w:spacing w:after="60" w:line="360" w:lineRule="auto"/>
        <w:ind w:firstLine="640"/>
        <w:jc w:val="both"/>
      </w:pPr>
      <w:r>
        <w:rPr>
          <w:rFonts w:ascii="宋体" w:hAnsi="宋体" w:eastAsia="宋体" w:cs="宋体"/>
          <w:sz w:val="32"/>
          <w:szCs w:val="32"/>
        </w:rPr>
        <w:t>（2）未按照文件要求密封的。</w:t>
      </w:r>
    </w:p>
    <w:p w14:paraId="7AE6856A">
      <w:pPr>
        <w:pStyle w:val="3"/>
        <w:spacing w:before="160" w:after="80" w:line="360" w:lineRule="auto"/>
      </w:pPr>
      <w:r>
        <w:rPr>
          <w:rFonts w:ascii="黑体" w:hAnsi="黑体" w:eastAsia="黑体" w:cs="黑体"/>
          <w:b/>
          <w:bCs/>
          <w:sz w:val="32"/>
          <w:szCs w:val="32"/>
        </w:rPr>
        <w:t>六、保证金</w:t>
      </w:r>
    </w:p>
    <w:p w14:paraId="5633250E">
      <w:pPr>
        <w:spacing w:after="60" w:line="360" w:lineRule="auto"/>
        <w:jc w:val="both"/>
      </w:pPr>
      <w:r>
        <w:rPr>
          <w:rFonts w:ascii="宋体" w:hAnsi="宋体" w:eastAsia="宋体" w:cs="宋体"/>
          <w:sz w:val="32"/>
          <w:szCs w:val="32"/>
        </w:rPr>
        <w:t>无。</w:t>
      </w:r>
    </w:p>
    <w:p w14:paraId="5ABDE698">
      <w:pPr>
        <w:pStyle w:val="3"/>
        <w:spacing w:before="160" w:after="80" w:line="360" w:lineRule="auto"/>
      </w:pPr>
      <w:r>
        <w:rPr>
          <w:rFonts w:ascii="黑体" w:hAnsi="黑体" w:eastAsia="黑体" w:cs="黑体"/>
          <w:b/>
          <w:bCs/>
          <w:sz w:val="32"/>
          <w:szCs w:val="32"/>
        </w:rPr>
        <w:t>七、其它有关规定</w:t>
      </w:r>
    </w:p>
    <w:p w14:paraId="7DEEEE18">
      <w:pPr>
        <w:spacing w:after="60" w:line="360" w:lineRule="auto"/>
        <w:jc w:val="both"/>
      </w:pPr>
      <w:r>
        <w:rPr>
          <w:rFonts w:ascii="宋体" w:hAnsi="宋体" w:eastAsia="宋体" w:cs="宋体"/>
          <w:sz w:val="32"/>
          <w:szCs w:val="32"/>
        </w:rPr>
        <w:t>（一）单位负责人为同一人或者存在直接控股、管理关系的不同供应商，不得参加同一合同项（分包）下的政府采购活动，否则均为响应无效。</w:t>
      </w:r>
    </w:p>
    <w:p w14:paraId="013848F0">
      <w:pPr>
        <w:spacing w:after="60" w:line="360" w:lineRule="auto"/>
        <w:jc w:val="both"/>
      </w:pPr>
      <w:r>
        <w:rPr>
          <w:rFonts w:ascii="宋体" w:hAnsi="宋体" w:eastAsia="宋体" w:cs="宋体"/>
          <w:sz w:val="32"/>
          <w:szCs w:val="32"/>
        </w:rPr>
        <w:t>（二）为采购项目提供整体设计、规范编制或者项目管理、监理、检测等服务的供应商，不得再参加该采购项目的其他采购活动。</w:t>
      </w:r>
    </w:p>
    <w:p w14:paraId="21E38B54">
      <w:pPr>
        <w:spacing w:after="60" w:line="360" w:lineRule="auto"/>
        <w:jc w:val="both"/>
      </w:pPr>
      <w:r>
        <w:rPr>
          <w:rFonts w:ascii="宋体" w:hAnsi="宋体" w:eastAsia="宋体" w:cs="宋体"/>
          <w:sz w:val="32"/>
          <w:szCs w:val="32"/>
        </w:rPr>
        <w:t>（三）本项目的补遗文件（如果有）一律由采购人相关人员发布更新，请各供应商注意发布消息；无论供应商下载与否，相关人员发布文件至供应商后均视同供应商已知晓本项目补遗文件（如果有）的内容。</w:t>
      </w:r>
    </w:p>
    <w:p w14:paraId="3A4B20AF">
      <w:pPr>
        <w:spacing w:after="60" w:line="360" w:lineRule="auto"/>
        <w:jc w:val="both"/>
      </w:pPr>
      <w:r>
        <w:rPr>
          <w:rFonts w:ascii="宋体" w:hAnsi="宋体" w:eastAsia="宋体" w:cs="宋体"/>
          <w:sz w:val="32"/>
          <w:szCs w:val="32"/>
        </w:rPr>
        <w:t>（四）超过响应文件递交截止时间递交的响应文件恕不接收。</w:t>
      </w:r>
    </w:p>
    <w:p w14:paraId="1F812AB0">
      <w:pPr>
        <w:spacing w:after="60" w:line="360" w:lineRule="auto"/>
        <w:jc w:val="both"/>
      </w:pPr>
      <w:r>
        <w:rPr>
          <w:rFonts w:ascii="宋体" w:hAnsi="宋体" w:eastAsia="宋体" w:cs="宋体"/>
          <w:sz w:val="32"/>
          <w:szCs w:val="32"/>
        </w:rPr>
        <w:t>（五）本项目不接受联合体参与。</w:t>
      </w:r>
    </w:p>
    <w:p w14:paraId="2090CA77">
      <w:pPr>
        <w:spacing w:after="60" w:line="360" w:lineRule="auto"/>
        <w:jc w:val="both"/>
      </w:pPr>
      <w:r>
        <w:rPr>
          <w:rFonts w:ascii="宋体" w:hAnsi="宋体" w:eastAsia="宋体" w:cs="宋体"/>
          <w:sz w:val="32"/>
          <w:szCs w:val="32"/>
        </w:rPr>
        <w:t>（六）本项目不接受合同分包、转包或挂靠。</w:t>
      </w:r>
    </w:p>
    <w:p w14:paraId="0CD8F314">
      <w:pPr>
        <w:spacing w:after="60" w:line="360" w:lineRule="auto"/>
        <w:jc w:val="both"/>
      </w:pPr>
      <w:r>
        <w:rPr>
          <w:rFonts w:ascii="宋体" w:hAnsi="宋体" w:eastAsia="宋体" w:cs="宋体"/>
          <w:sz w:val="32"/>
          <w:szCs w:val="32"/>
        </w:rPr>
        <w:t>（七）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1203BE5A">
      <w:pPr>
        <w:pStyle w:val="3"/>
        <w:spacing w:before="160" w:after="80" w:line="360" w:lineRule="auto"/>
      </w:pPr>
      <w:r>
        <w:rPr>
          <w:rFonts w:ascii="黑体" w:hAnsi="黑体" w:eastAsia="黑体" w:cs="黑体"/>
          <w:b/>
          <w:bCs/>
          <w:sz w:val="32"/>
          <w:szCs w:val="32"/>
        </w:rPr>
        <w:t>八、联系方式</w:t>
      </w:r>
    </w:p>
    <w:p w14:paraId="08CD1A7C">
      <w:pPr>
        <w:spacing w:after="60" w:line="360" w:lineRule="auto"/>
        <w:jc w:val="both"/>
      </w:pPr>
      <w:r>
        <w:rPr>
          <w:rFonts w:ascii="宋体" w:hAnsi="宋体" w:eastAsia="宋体" w:cs="宋体"/>
          <w:sz w:val="32"/>
          <w:szCs w:val="32"/>
        </w:rPr>
        <w:t>采购人：重庆市两江新区人民医院</w:t>
      </w:r>
    </w:p>
    <w:p w14:paraId="36C9BDD5">
      <w:pPr>
        <w:spacing w:after="60" w:line="360" w:lineRule="auto"/>
        <w:jc w:val="both"/>
      </w:pPr>
      <w:r>
        <w:rPr>
          <w:rFonts w:ascii="宋体" w:hAnsi="宋体" w:eastAsia="宋体" w:cs="宋体"/>
          <w:sz w:val="32"/>
          <w:szCs w:val="32"/>
        </w:rPr>
        <w:t>联系人：经老师</w:t>
      </w:r>
    </w:p>
    <w:p w14:paraId="6D998D4D">
      <w:pPr>
        <w:spacing w:after="60" w:line="360" w:lineRule="auto"/>
        <w:jc w:val="both"/>
      </w:pPr>
      <w:r>
        <w:rPr>
          <w:rFonts w:ascii="宋体" w:hAnsi="宋体" w:eastAsia="宋体" w:cs="宋体"/>
          <w:sz w:val="32"/>
          <w:szCs w:val="32"/>
        </w:rPr>
        <w:t>电  话：023-86791788</w:t>
      </w:r>
    </w:p>
    <w:p w14:paraId="43D74F5F">
      <w:pPr>
        <w:spacing w:after="60" w:line="360" w:lineRule="auto"/>
        <w:jc w:val="both"/>
      </w:pPr>
      <w:r>
        <w:rPr>
          <w:rFonts w:ascii="宋体" w:hAnsi="宋体" w:eastAsia="宋体" w:cs="宋体"/>
          <w:sz w:val="32"/>
          <w:szCs w:val="32"/>
        </w:rPr>
        <w:t>地  址：重庆市两江新区人和街道金开大道2号</w:t>
      </w:r>
    </w:p>
    <w:p w14:paraId="7C78079C">
      <w:r>
        <w:br w:type="page"/>
      </w:r>
    </w:p>
    <w:p w14:paraId="53D82365">
      <w:pPr>
        <w:pStyle w:val="2"/>
        <w:spacing w:before="240" w:after="120" w:line="400" w:lineRule="auto"/>
        <w:jc w:val="center"/>
      </w:pPr>
      <w:bookmarkStart w:id="1" w:name="_Toc28481"/>
      <w:r>
        <w:rPr>
          <w:rFonts w:ascii="黑体" w:hAnsi="黑体" w:eastAsia="黑体" w:cs="黑体"/>
          <w:b/>
          <w:bCs/>
          <w:sz w:val="44"/>
          <w:szCs w:val="44"/>
        </w:rPr>
        <w:t>第二篇  项目服务要求</w:t>
      </w:r>
      <w:bookmarkEnd w:id="1"/>
    </w:p>
    <w:p w14:paraId="5B4DEE26">
      <w:pPr>
        <w:pStyle w:val="3"/>
        <w:spacing w:before="160" w:after="80" w:line="360" w:lineRule="auto"/>
      </w:pPr>
      <w:r>
        <w:rPr>
          <w:rFonts w:ascii="黑体" w:hAnsi="黑体" w:eastAsia="黑体" w:cs="黑体"/>
          <w:b/>
          <w:bCs/>
          <w:sz w:val="32"/>
          <w:szCs w:val="32"/>
        </w:rPr>
        <w:t>一、项目总体要求</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44"/>
        <w:gridCol w:w="4626"/>
        <w:gridCol w:w="3116"/>
      </w:tblGrid>
      <w:tr w14:paraId="5CC0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0" w:type="dxa"/>
            <w:tcBorders>
              <w:top w:val="single" w:color="000000" w:sz="0" w:space="0"/>
              <w:left w:val="single" w:color="000000" w:sz="0" w:space="0"/>
              <w:bottom w:val="single" w:color="000000" w:sz="0" w:space="0"/>
              <w:right w:val="single" w:color="000000" w:sz="0" w:space="0"/>
            </w:tcBorders>
            <w:shd w:val="clear" w:color="auto" w:fill="D5E8F0"/>
          </w:tcPr>
          <w:p w14:paraId="35FF783D">
            <w:pPr>
              <w:spacing w:line="300" w:lineRule="auto"/>
              <w:jc w:val="center"/>
            </w:pPr>
            <w:r>
              <w:rPr>
                <w:rFonts w:ascii="宋体" w:hAnsi="宋体" w:eastAsia="宋体" w:cs="宋体"/>
                <w:sz w:val="28"/>
                <w:szCs w:val="28"/>
              </w:rPr>
              <w:t>序号</w:t>
            </w:r>
          </w:p>
        </w:tc>
        <w:tc>
          <w:tcPr>
            <w:tcW w:w="5000" w:type="dxa"/>
            <w:tcBorders>
              <w:top w:val="single" w:color="000000" w:sz="0" w:space="0"/>
              <w:left w:val="single" w:color="000000" w:sz="0" w:space="0"/>
              <w:bottom w:val="single" w:color="000000" w:sz="0" w:space="0"/>
              <w:right w:val="single" w:color="000000" w:sz="0" w:space="0"/>
            </w:tcBorders>
            <w:shd w:val="clear" w:color="auto" w:fill="D5E8F0"/>
          </w:tcPr>
          <w:p w14:paraId="7D955897">
            <w:pPr>
              <w:spacing w:line="300" w:lineRule="auto"/>
              <w:jc w:val="center"/>
            </w:pPr>
            <w:r>
              <w:rPr>
                <w:rFonts w:ascii="宋体" w:hAnsi="宋体" w:eastAsia="宋体" w:cs="宋体"/>
                <w:sz w:val="28"/>
                <w:szCs w:val="28"/>
              </w:rPr>
              <w:t>名称</w:t>
            </w:r>
          </w:p>
        </w:tc>
        <w:tc>
          <w:tcPr>
            <w:tcW w:w="3360" w:type="dxa"/>
            <w:tcBorders>
              <w:top w:val="single" w:color="000000" w:sz="0" w:space="0"/>
              <w:left w:val="single" w:color="000000" w:sz="0" w:space="0"/>
              <w:bottom w:val="single" w:color="000000" w:sz="0" w:space="0"/>
              <w:right w:val="single" w:color="000000" w:sz="0" w:space="0"/>
            </w:tcBorders>
            <w:shd w:val="clear" w:color="auto" w:fill="D5E8F0"/>
          </w:tcPr>
          <w:p w14:paraId="707CB8E2">
            <w:pPr>
              <w:spacing w:line="300" w:lineRule="auto"/>
              <w:jc w:val="center"/>
            </w:pPr>
            <w:r>
              <w:rPr>
                <w:rFonts w:ascii="宋体" w:hAnsi="宋体" w:eastAsia="宋体" w:cs="宋体"/>
                <w:sz w:val="28"/>
                <w:szCs w:val="28"/>
              </w:rPr>
              <w:t>服务期限</w:t>
            </w:r>
          </w:p>
        </w:tc>
      </w:tr>
      <w:tr w14:paraId="5D79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0" w:type="dxa"/>
            <w:tcBorders>
              <w:top w:val="single" w:color="000000" w:sz="0" w:space="0"/>
              <w:left w:val="single" w:color="000000" w:sz="0" w:space="0"/>
              <w:bottom w:val="single" w:color="000000" w:sz="0" w:space="0"/>
              <w:right w:val="single" w:color="000000" w:sz="0" w:space="0"/>
            </w:tcBorders>
          </w:tcPr>
          <w:p w14:paraId="0BB67BD9">
            <w:pPr>
              <w:spacing w:line="300" w:lineRule="auto"/>
              <w:jc w:val="center"/>
            </w:pPr>
            <w:r>
              <w:rPr>
                <w:rFonts w:ascii="宋体" w:hAnsi="宋体" w:eastAsia="宋体" w:cs="宋体"/>
                <w:sz w:val="28"/>
                <w:szCs w:val="28"/>
              </w:rPr>
              <w:t>1</w:t>
            </w:r>
          </w:p>
        </w:tc>
        <w:tc>
          <w:tcPr>
            <w:tcW w:w="5000" w:type="dxa"/>
            <w:tcBorders>
              <w:top w:val="single" w:color="000000" w:sz="0" w:space="0"/>
              <w:left w:val="single" w:color="000000" w:sz="0" w:space="0"/>
              <w:bottom w:val="single" w:color="000000" w:sz="0" w:space="0"/>
              <w:right w:val="single" w:color="000000" w:sz="0" w:space="0"/>
            </w:tcBorders>
          </w:tcPr>
          <w:p w14:paraId="5CDB9D57">
            <w:pPr>
              <w:spacing w:line="300" w:lineRule="auto"/>
              <w:jc w:val="left"/>
            </w:pPr>
            <w:r>
              <w:rPr>
                <w:rFonts w:ascii="宋体" w:hAnsi="宋体" w:eastAsia="宋体" w:cs="宋体"/>
                <w:sz w:val="28"/>
                <w:szCs w:val="28"/>
              </w:rPr>
              <w:t>传染病接口改造服务</w:t>
            </w:r>
          </w:p>
        </w:tc>
        <w:tc>
          <w:tcPr>
            <w:tcW w:w="3360" w:type="dxa"/>
            <w:tcBorders>
              <w:top w:val="single" w:color="000000" w:sz="0" w:space="0"/>
              <w:left w:val="single" w:color="000000" w:sz="0" w:space="0"/>
              <w:bottom w:val="single" w:color="000000" w:sz="0" w:space="0"/>
              <w:right w:val="single" w:color="000000" w:sz="0" w:space="0"/>
            </w:tcBorders>
          </w:tcPr>
          <w:p w14:paraId="7BF7B39E">
            <w:pPr>
              <w:spacing w:line="300" w:lineRule="auto"/>
              <w:jc w:val="left"/>
            </w:pPr>
            <w:r>
              <w:rPr>
                <w:rFonts w:ascii="宋体" w:hAnsi="宋体" w:eastAsia="宋体" w:cs="宋体"/>
                <w:sz w:val="28"/>
                <w:szCs w:val="28"/>
              </w:rPr>
              <w:t>合同签订后1年</w:t>
            </w:r>
          </w:p>
        </w:tc>
      </w:tr>
    </w:tbl>
    <w:p w14:paraId="100D1E4E">
      <w:pPr>
        <w:spacing w:line="360" w:lineRule="auto"/>
      </w:pPr>
    </w:p>
    <w:p w14:paraId="25BB5B6B">
      <w:pPr>
        <w:pStyle w:val="3"/>
        <w:spacing w:before="160" w:after="80" w:line="360" w:lineRule="auto"/>
      </w:pPr>
      <w:r>
        <w:rPr>
          <w:rFonts w:ascii="黑体" w:hAnsi="黑体" w:eastAsia="黑体" w:cs="黑体"/>
          <w:b/>
          <w:bCs/>
          <w:sz w:val="32"/>
          <w:szCs w:val="32"/>
        </w:rPr>
        <w:t>二、项目服务及技术要求</w:t>
      </w:r>
    </w:p>
    <w:p w14:paraId="15A4A92B">
      <w:pPr>
        <w:pStyle w:val="4"/>
        <w:spacing w:before="120" w:after="60" w:line="360" w:lineRule="auto"/>
        <w:ind w:left="0"/>
      </w:pPr>
      <w:r>
        <w:rPr>
          <w:rFonts w:ascii="黑体" w:hAnsi="黑体" w:eastAsia="黑体" w:cs="黑体"/>
          <w:b/>
          <w:bCs/>
          <w:sz w:val="28"/>
          <w:szCs w:val="28"/>
        </w:rPr>
        <w:t>（一）项目依据</w:t>
      </w:r>
    </w:p>
    <w:p w14:paraId="4999529B">
      <w:pPr>
        <w:spacing w:after="60" w:line="360" w:lineRule="auto"/>
        <w:jc w:val="both"/>
      </w:pPr>
      <w:r>
        <w:rPr>
          <w:rFonts w:ascii="宋体" w:hAnsi="宋体" w:eastAsia="宋体" w:cs="宋体"/>
          <w:sz w:val="32"/>
          <w:szCs w:val="32"/>
        </w:rPr>
        <w:t>严格遵循《重庆市疾病智能监测预警数据集成和API接口规范(试行)-v1.0.13》全部条款开展接口开发、适配、联调、上线、运维全流程改造工作。</w:t>
      </w:r>
    </w:p>
    <w:p w14:paraId="617C10DB">
      <w:pPr>
        <w:spacing w:line="360" w:lineRule="auto"/>
      </w:pPr>
    </w:p>
    <w:p w14:paraId="256DED31">
      <w:pPr>
        <w:pStyle w:val="4"/>
        <w:spacing w:before="120" w:after="60" w:line="360" w:lineRule="auto"/>
        <w:ind w:left="0"/>
      </w:pPr>
      <w:r>
        <w:rPr>
          <w:rFonts w:ascii="黑体" w:hAnsi="黑体" w:eastAsia="黑体" w:cs="黑体"/>
          <w:b/>
          <w:bCs/>
          <w:sz w:val="28"/>
          <w:szCs w:val="28"/>
        </w:rPr>
        <w:t>（二）服务内容</w:t>
      </w:r>
    </w:p>
    <w:p w14:paraId="36185AFE">
      <w:pPr>
        <w:spacing w:after="60" w:line="360" w:lineRule="auto"/>
        <w:jc w:val="both"/>
      </w:pPr>
      <w:r>
        <w:rPr>
          <w:rFonts w:ascii="宋体" w:hAnsi="宋体" w:eastAsia="宋体" w:cs="宋体"/>
          <w:b/>
          <w:bCs/>
          <w:sz w:val="32"/>
          <w:szCs w:val="32"/>
        </w:rPr>
        <w:t>1. 需求梳理与方案编制服务</w:t>
      </w:r>
    </w:p>
    <w:p w14:paraId="13F050E5">
      <w:pPr>
        <w:spacing w:after="60" w:line="360" w:lineRule="auto"/>
        <w:jc w:val="both"/>
      </w:pPr>
      <w:r>
        <w:rPr>
          <w:rFonts w:ascii="宋体" w:hAnsi="宋体" w:eastAsia="宋体" w:cs="宋体"/>
          <w:sz w:val="32"/>
          <w:szCs w:val="32"/>
        </w:rPr>
        <w:t>服务商须安排具备公共卫生数据对接、重庆疾控平台对接经验的技术人员对接，梳理本院现有业务系统（门诊、住院、检验、慢病、传染病登记等）数据源，依据v1.0.13规范编制专属接口改造实施方案，包含数据字段映射、接口调用流程、异常处理机制、安全方案、工期计划表。</w:t>
      </w:r>
    </w:p>
    <w:p w14:paraId="39DB2FBA">
      <w:pPr>
        <w:spacing w:line="360" w:lineRule="auto"/>
      </w:pPr>
    </w:p>
    <w:p w14:paraId="73B2FE61">
      <w:pPr>
        <w:spacing w:after="60" w:line="360" w:lineRule="auto"/>
        <w:jc w:val="both"/>
      </w:pPr>
      <w:r>
        <w:rPr>
          <w:rFonts w:ascii="宋体" w:hAnsi="宋体" w:eastAsia="宋体" w:cs="宋体"/>
          <w:b/>
          <w:bCs/>
          <w:sz w:val="32"/>
          <w:szCs w:val="32"/>
        </w:rPr>
        <w:t>2. 数据采集与集成开发服务</w:t>
      </w:r>
    </w:p>
    <w:p w14:paraId="58F12D75">
      <w:pPr>
        <w:spacing w:after="60" w:line="360" w:lineRule="auto"/>
        <w:jc w:val="both"/>
      </w:pPr>
      <w:r>
        <w:rPr>
          <w:rFonts w:ascii="宋体" w:hAnsi="宋体" w:eastAsia="宋体" w:cs="宋体"/>
          <w:sz w:val="32"/>
          <w:szCs w:val="32"/>
        </w:rPr>
        <w:t>按照v1.0.13规范完成院内系统数据提取、标准化清洗、格式转换，实现与前置软件的数据同步。具体采集范围包括：</w:t>
      </w:r>
    </w:p>
    <w:p w14:paraId="1BFCBBE0">
      <w:pPr>
        <w:spacing w:line="360" w:lineRule="auto"/>
      </w:pPr>
    </w:p>
    <w:p w14:paraId="61110051">
      <w:pPr>
        <w:spacing w:after="60" w:line="360" w:lineRule="auto"/>
        <w:jc w:val="both"/>
      </w:pPr>
      <w:r>
        <w:rPr>
          <w:rFonts w:ascii="宋体" w:hAnsi="宋体" w:eastAsia="宋体" w:cs="宋体"/>
          <w:b/>
          <w:bCs/>
          <w:sz w:val="32"/>
          <w:szCs w:val="32"/>
        </w:rPr>
        <w:t>（1）实时采集数据（3类）：</w:t>
      </w:r>
    </w:p>
    <w:p w14:paraId="5A9F3063">
      <w:pPr>
        <w:spacing w:after="60" w:line="360" w:lineRule="auto"/>
        <w:ind w:firstLine="640"/>
        <w:jc w:val="both"/>
      </w:pPr>
      <w:r>
        <w:rPr>
          <w:rFonts w:ascii="宋体" w:hAnsi="宋体" w:eastAsia="宋体" w:cs="宋体"/>
          <w:sz w:val="32"/>
          <w:szCs w:val="32"/>
        </w:rPr>
        <w:t>① 患者基本信息表（emr_patient_info）：患者基本信息在院内的唯一识别标识、姓名、身份证件信息、性别、出生日期、国籍、民族、户籍地址、现住地址、婚姻状况、学历、人群分类、联系方式等33项数据，在患者基本信息新增或发生变更后实时同步至前置软件；</w:t>
      </w:r>
    </w:p>
    <w:p w14:paraId="3ECF2B59">
      <w:pPr>
        <w:spacing w:after="60" w:line="360" w:lineRule="auto"/>
        <w:ind w:firstLine="640"/>
        <w:jc w:val="both"/>
      </w:pPr>
      <w:r>
        <w:rPr>
          <w:rFonts w:ascii="宋体" w:hAnsi="宋体" w:eastAsia="宋体" w:cs="宋体"/>
          <w:sz w:val="32"/>
          <w:szCs w:val="32"/>
        </w:rPr>
        <w:t>② 诊疗活动信息表（emr_activity_info）：诊疗活动记录唯一标识、患者关联、诊疗活动类型、就诊流水号、诊疗活动时间、主诉、现病史、体格检查、辅助检查、疾病诊断（含传染病诊断ICD10编码）、诊断医生、科室信息等30项数据，在医生下达诊断或修订诊断后实时同步；</w:t>
      </w:r>
    </w:p>
    <w:p w14:paraId="0ADF605B">
      <w:pPr>
        <w:spacing w:after="60" w:line="360" w:lineRule="auto"/>
        <w:ind w:firstLine="640"/>
        <w:jc w:val="both"/>
      </w:pPr>
      <w:r>
        <w:rPr>
          <w:rFonts w:ascii="宋体" w:hAnsi="宋体" w:eastAsia="宋体" w:cs="宋体"/>
          <w:sz w:val="32"/>
          <w:szCs w:val="32"/>
        </w:rPr>
        <w:t>③ 传染病报告卡（emr_inf_report）：传报卡ID、患者关联、就诊流水号、患者基本信息、发病日期、诊断时间、疾病诊断代码、病例分类、诊断状态、死亡信息、实验室检测结论、发现方式、感染途径、接触方式等93项以上数据，具备传染病报告卡生成能力的机构在保存传报卡后实时同步。</w:t>
      </w:r>
    </w:p>
    <w:p w14:paraId="5AA91418">
      <w:pPr>
        <w:spacing w:line="360" w:lineRule="auto"/>
      </w:pPr>
    </w:p>
    <w:p w14:paraId="180D6FCE">
      <w:pPr>
        <w:spacing w:after="60" w:line="360" w:lineRule="auto"/>
        <w:jc w:val="both"/>
      </w:pPr>
      <w:r>
        <w:rPr>
          <w:rFonts w:ascii="宋体" w:hAnsi="宋体" w:eastAsia="宋体" w:cs="宋体"/>
          <w:b/>
          <w:bCs/>
          <w:sz w:val="32"/>
          <w:szCs w:val="32"/>
        </w:rPr>
        <w:t>（2）常规监测数据（19类）：</w:t>
      </w:r>
    </w:p>
    <w:p w14:paraId="6E1C5484">
      <w:pPr>
        <w:spacing w:after="60" w:line="360" w:lineRule="auto"/>
        <w:ind w:firstLine="640"/>
        <w:jc w:val="both"/>
      </w:pPr>
      <w:r>
        <w:rPr>
          <w:rFonts w:ascii="宋体" w:hAnsi="宋体" w:eastAsia="宋体" w:cs="宋体"/>
          <w:sz w:val="32"/>
          <w:szCs w:val="32"/>
        </w:rPr>
        <w:t>① 门（急）诊病历（emr_outpatient_record）；② 门（急）诊留观记录（emr_outpatient_obs）；③ 入院记录（emr_admission_info）；④ 住院首次病程记录（emr_first_course）；⑤ 住院日常病程记录（emr_daily_course）；⑥ 住院病案首页（emr_admission_record）；⑦ 出院记录（emr_discharge_info）；⑧ 检查报告（emr_ex_clinical）；⑨ 检查报告项目（emr_ex_clinical_item）；⑩ 检验报告（emr_ex_lab）；⑪ 检验报告项目（emr_ex_lab_item）；⑫ 医嘱处方信息（emr_order）；⑬ 医嘱处方条目（emr_order_item）；⑭ 死亡信息（emr_death_info）；⑮ 生命体征护理记录单（emr_vital_signs_record）；⑯ 肺功能检查表（医防协同）；⑰ 骨质疏松检测表（医防协同）；⑱ 影像检查体征指标表（医防协同）；⑲ 结核病信息（医防协同）；⑳ 诊疗费用信息（医防协同）。以上数据按规范要求的同步频率完成采集上传。</w:t>
      </w:r>
    </w:p>
    <w:p w14:paraId="0D4181D9">
      <w:pPr>
        <w:spacing w:line="360" w:lineRule="auto"/>
      </w:pPr>
    </w:p>
    <w:p w14:paraId="69E36EEE">
      <w:pPr>
        <w:spacing w:after="60" w:line="360" w:lineRule="auto"/>
        <w:jc w:val="both"/>
      </w:pPr>
      <w:r>
        <w:rPr>
          <w:rFonts w:ascii="宋体" w:hAnsi="宋体" w:eastAsia="宋体" w:cs="宋体"/>
          <w:b/>
          <w:bCs/>
          <w:sz w:val="32"/>
          <w:szCs w:val="32"/>
        </w:rPr>
        <w:t>（3）医防协同数据：</w:t>
      </w:r>
    </w:p>
    <w:p w14:paraId="0FD8C498">
      <w:pPr>
        <w:spacing w:after="60" w:line="360" w:lineRule="auto"/>
        <w:ind w:firstLine="640"/>
        <w:jc w:val="both"/>
      </w:pPr>
      <w:r>
        <w:rPr>
          <w:rFonts w:ascii="宋体" w:hAnsi="宋体" w:eastAsia="宋体" w:cs="宋体"/>
          <w:sz w:val="32"/>
          <w:szCs w:val="32"/>
        </w:rPr>
        <w:t>① 临床医生传染病报告卡（医防协同下行数据）：机构按需增量查询，增量查询间隔时间5-10分钟；</w:t>
      </w:r>
    </w:p>
    <w:p w14:paraId="04117988">
      <w:pPr>
        <w:spacing w:after="60" w:line="360" w:lineRule="auto"/>
        <w:ind w:firstLine="640"/>
        <w:jc w:val="both"/>
      </w:pPr>
      <w:r>
        <w:rPr>
          <w:rFonts w:ascii="宋体" w:hAnsi="宋体" w:eastAsia="宋体" w:cs="宋体"/>
          <w:sz w:val="32"/>
          <w:szCs w:val="32"/>
        </w:rPr>
        <w:t>② 国家下行传染病报告卡（医防协同下行数据）：机构按需增量查询，增量查询间隔时间5-10分钟；</w:t>
      </w:r>
    </w:p>
    <w:p w14:paraId="1838F314">
      <w:pPr>
        <w:spacing w:after="60" w:line="360" w:lineRule="auto"/>
        <w:ind w:firstLine="640"/>
        <w:jc w:val="both"/>
      </w:pPr>
      <w:r>
        <w:rPr>
          <w:rFonts w:ascii="宋体" w:hAnsi="宋体" w:eastAsia="宋体" w:cs="宋体"/>
          <w:sz w:val="32"/>
          <w:szCs w:val="32"/>
        </w:rPr>
        <w:t>③ 患者诊疗活动信息表（医防协同）：临床医生工作站实时交换；</w:t>
      </w:r>
    </w:p>
    <w:p w14:paraId="59780DD1">
      <w:pPr>
        <w:spacing w:after="60" w:line="360" w:lineRule="auto"/>
        <w:ind w:firstLine="640"/>
        <w:jc w:val="both"/>
      </w:pPr>
      <w:r>
        <w:rPr>
          <w:rFonts w:ascii="宋体" w:hAnsi="宋体" w:eastAsia="宋体" w:cs="宋体"/>
          <w:sz w:val="32"/>
          <w:szCs w:val="32"/>
        </w:rPr>
        <w:t>④ 体格检查信息表（医防协同）：在病历、专项登记信息等产生体格检查相关信息保存后调用。</w:t>
      </w:r>
    </w:p>
    <w:p w14:paraId="082DE4B1">
      <w:pPr>
        <w:spacing w:line="360" w:lineRule="auto"/>
      </w:pPr>
    </w:p>
    <w:p w14:paraId="6E4593C3">
      <w:pPr>
        <w:spacing w:after="60" w:line="360" w:lineRule="auto"/>
        <w:jc w:val="both"/>
      </w:pPr>
      <w:r>
        <w:rPr>
          <w:rFonts w:ascii="宋体" w:hAnsi="宋体" w:eastAsia="宋体" w:cs="宋体"/>
          <w:b/>
          <w:bCs/>
          <w:sz w:val="32"/>
          <w:szCs w:val="32"/>
        </w:rPr>
        <w:t>（4）基础表数据（2类）：</w:t>
      </w:r>
    </w:p>
    <w:p w14:paraId="13C532C7">
      <w:pPr>
        <w:spacing w:after="60" w:line="360" w:lineRule="auto"/>
        <w:ind w:firstLine="640"/>
        <w:jc w:val="both"/>
      </w:pPr>
      <w:r>
        <w:rPr>
          <w:rFonts w:ascii="宋体" w:hAnsi="宋体" w:eastAsia="宋体" w:cs="宋体"/>
          <w:sz w:val="32"/>
          <w:szCs w:val="32"/>
        </w:rPr>
        <w:t>① 医院信息系统用户信息（base_user）：数据新增或变更后实时同步；</w:t>
      </w:r>
    </w:p>
    <w:p w14:paraId="035E0C08">
      <w:pPr>
        <w:spacing w:after="60" w:line="360" w:lineRule="auto"/>
        <w:ind w:firstLine="640"/>
        <w:jc w:val="both"/>
      </w:pPr>
      <w:r>
        <w:rPr>
          <w:rFonts w:ascii="宋体" w:hAnsi="宋体" w:eastAsia="宋体" w:cs="宋体"/>
          <w:sz w:val="32"/>
          <w:szCs w:val="32"/>
        </w:rPr>
        <w:t>② 医院信息系统科室信息（base_dept）：数据新增或变更后实时同步。</w:t>
      </w:r>
    </w:p>
    <w:p w14:paraId="23773EDC">
      <w:pPr>
        <w:spacing w:line="360" w:lineRule="auto"/>
      </w:pPr>
    </w:p>
    <w:p w14:paraId="1B205629">
      <w:pPr>
        <w:spacing w:after="60" w:line="360" w:lineRule="auto"/>
        <w:jc w:val="both"/>
      </w:pPr>
      <w:r>
        <w:rPr>
          <w:rFonts w:ascii="宋体" w:hAnsi="宋体" w:eastAsia="宋体" w:cs="宋体"/>
          <w:b/>
          <w:bCs/>
          <w:sz w:val="32"/>
          <w:szCs w:val="32"/>
        </w:rPr>
        <w:t>3. API接口开发服务</w:t>
      </w:r>
    </w:p>
    <w:p w14:paraId="666E7EB6">
      <w:pPr>
        <w:spacing w:after="60" w:line="360" w:lineRule="auto"/>
        <w:jc w:val="both"/>
      </w:pPr>
      <w:r>
        <w:rPr>
          <w:rFonts w:ascii="宋体" w:hAnsi="宋体" w:eastAsia="宋体" w:cs="宋体"/>
          <w:sz w:val="32"/>
          <w:szCs w:val="32"/>
        </w:rPr>
        <w:t>按照v1.0.13规范开发以下API接口：</w:t>
      </w:r>
    </w:p>
    <w:p w14:paraId="64E48AA1">
      <w:pPr>
        <w:spacing w:after="60" w:line="360" w:lineRule="auto"/>
        <w:jc w:val="both"/>
      </w:pPr>
      <w:r>
        <w:rPr>
          <w:rFonts w:ascii="宋体" w:hAnsi="宋体" w:eastAsia="宋体" w:cs="宋体"/>
          <w:b/>
          <w:bCs/>
          <w:sz w:val="32"/>
          <w:szCs w:val="32"/>
        </w:rPr>
        <w:t>（1）数据操作API接口（20个）：</w:t>
      </w:r>
    </w:p>
    <w:p w14:paraId="6247D286">
      <w:pPr>
        <w:spacing w:after="60" w:line="360" w:lineRule="auto"/>
        <w:ind w:firstLine="640"/>
        <w:jc w:val="both"/>
      </w:pPr>
      <w:r>
        <w:rPr>
          <w:rFonts w:ascii="宋体" w:hAnsi="宋体" w:eastAsia="宋体" w:cs="宋体"/>
          <w:sz w:val="32"/>
          <w:szCs w:val="32"/>
        </w:rPr>
        <w:t>为患者基本信息、诊疗活动信息、传染病报告卡、门（急）诊病历、门（急）诊留观记录、入院记录、住院首次病程记录、住院日常病程记录、住院病案首页、出院记录、检查报告、检查报告项目、检验报告、检验报告项目、医嘱处方信息、医嘱处方条目、死亡信息、生命体征护理记录单、医院信息系统用户信息、医院信息系统科室信息等20类数据表分别开发增加（Create）、删除（Delete）、修改（Update）、查询（Query）等数据操作API接口。</w:t>
      </w:r>
    </w:p>
    <w:p w14:paraId="0DD24E81">
      <w:pPr>
        <w:spacing w:line="360" w:lineRule="auto"/>
      </w:pPr>
    </w:p>
    <w:p w14:paraId="40CECC04">
      <w:pPr>
        <w:spacing w:after="60" w:line="360" w:lineRule="auto"/>
        <w:jc w:val="both"/>
      </w:pPr>
      <w:r>
        <w:rPr>
          <w:rFonts w:ascii="宋体" w:hAnsi="宋体" w:eastAsia="宋体" w:cs="宋体"/>
          <w:b/>
          <w:bCs/>
          <w:sz w:val="32"/>
          <w:szCs w:val="32"/>
        </w:rPr>
        <w:t>（2）系统交互API接口：</w:t>
      </w:r>
    </w:p>
    <w:p w14:paraId="48C8226A">
      <w:pPr>
        <w:spacing w:after="60" w:line="360" w:lineRule="auto"/>
        <w:ind w:firstLine="640"/>
        <w:jc w:val="both"/>
      </w:pPr>
      <w:r>
        <w:rPr>
          <w:rFonts w:ascii="宋体" w:hAnsi="宋体" w:eastAsia="宋体" w:cs="宋体"/>
          <w:sz w:val="32"/>
          <w:szCs w:val="32"/>
        </w:rPr>
        <w:t>① 单点登录API接口：包括获取私钥API接口和单点登录API接口，实现与前置软件的安全身份认证；</w:t>
      </w:r>
    </w:p>
    <w:p w14:paraId="686C937E">
      <w:pPr>
        <w:spacing w:after="60" w:line="360" w:lineRule="auto"/>
        <w:ind w:firstLine="640"/>
        <w:jc w:val="both"/>
      </w:pPr>
      <w:r>
        <w:rPr>
          <w:rFonts w:ascii="宋体" w:hAnsi="宋体" w:eastAsia="宋体" w:cs="宋体"/>
          <w:sz w:val="32"/>
          <w:szCs w:val="32"/>
        </w:rPr>
        <w:t>② 消息查阅API接口：包括获取私钥API接口和消息查阅API接口，实现业务协同消息的查阅功能。</w:t>
      </w:r>
    </w:p>
    <w:p w14:paraId="0D717439">
      <w:pPr>
        <w:spacing w:line="360" w:lineRule="auto"/>
      </w:pPr>
    </w:p>
    <w:p w14:paraId="66970E33">
      <w:pPr>
        <w:spacing w:after="60" w:line="360" w:lineRule="auto"/>
        <w:jc w:val="both"/>
      </w:pPr>
      <w:r>
        <w:rPr>
          <w:rFonts w:ascii="宋体" w:hAnsi="宋体" w:eastAsia="宋体" w:cs="宋体"/>
          <w:b/>
          <w:bCs/>
          <w:sz w:val="32"/>
          <w:szCs w:val="32"/>
        </w:rPr>
        <w:t>（3）医防协同接口调用：</w:t>
      </w:r>
    </w:p>
    <w:p w14:paraId="0052E8A6">
      <w:pPr>
        <w:spacing w:after="60" w:line="360" w:lineRule="auto"/>
        <w:ind w:firstLine="640"/>
        <w:jc w:val="both"/>
      </w:pPr>
      <w:r>
        <w:rPr>
          <w:rFonts w:ascii="宋体" w:hAnsi="宋体" w:eastAsia="宋体" w:cs="宋体"/>
          <w:sz w:val="32"/>
          <w:szCs w:val="32"/>
        </w:rPr>
        <w:t>① 实现医防协同接口的加解密机制，包括RSA加密传输、AES加密数据等安全机制；</w:t>
      </w:r>
    </w:p>
    <w:p w14:paraId="252AEAB5">
      <w:pPr>
        <w:spacing w:after="60" w:line="360" w:lineRule="auto"/>
        <w:ind w:firstLine="640"/>
        <w:jc w:val="both"/>
      </w:pPr>
      <w:r>
        <w:rPr>
          <w:rFonts w:ascii="宋体" w:hAnsi="宋体" w:eastAsia="宋体" w:cs="宋体"/>
          <w:sz w:val="32"/>
          <w:szCs w:val="32"/>
        </w:rPr>
        <w:t>② 实现上行接口调用：业务协同提醒记录查询、业务协同处置服务（含确认、恢复操作）、主动报告服务、报告查看服务、报告修改服务等；</w:t>
      </w:r>
    </w:p>
    <w:p w14:paraId="62E16EDD">
      <w:pPr>
        <w:spacing w:after="60" w:line="360" w:lineRule="auto"/>
        <w:ind w:firstLine="640"/>
        <w:jc w:val="both"/>
      </w:pPr>
      <w:r>
        <w:rPr>
          <w:rFonts w:ascii="宋体" w:hAnsi="宋体" w:eastAsia="宋体" w:cs="宋体"/>
          <w:sz w:val="32"/>
          <w:szCs w:val="32"/>
        </w:rPr>
        <w:t>③ 实现下行接口调用：临床医生传染病报告卡下行数据接收、国家下行传染病报告卡数据接收；</w:t>
      </w:r>
    </w:p>
    <w:p w14:paraId="0E3DB815">
      <w:pPr>
        <w:spacing w:after="60" w:line="360" w:lineRule="auto"/>
        <w:ind w:firstLine="640"/>
        <w:jc w:val="both"/>
      </w:pPr>
      <w:r>
        <w:rPr>
          <w:rFonts w:ascii="宋体" w:hAnsi="宋体" w:eastAsia="宋体" w:cs="宋体"/>
          <w:sz w:val="32"/>
          <w:szCs w:val="32"/>
        </w:rPr>
        <w:t>④ 实现医生站登录集成服务，将医防协同平台集成到医生工作站；</w:t>
      </w:r>
    </w:p>
    <w:p w14:paraId="7B78B628">
      <w:pPr>
        <w:spacing w:after="60" w:line="360" w:lineRule="auto"/>
        <w:ind w:firstLine="640"/>
        <w:jc w:val="both"/>
      </w:pPr>
      <w:r>
        <w:rPr>
          <w:rFonts w:ascii="宋体" w:hAnsi="宋体" w:eastAsia="宋体" w:cs="宋体"/>
          <w:sz w:val="32"/>
          <w:szCs w:val="32"/>
        </w:rPr>
        <w:t>⑤ 实现疾控云平台医生账号注册服务，包括查询用户信息、修改用户、新增用户等功能。</w:t>
      </w:r>
    </w:p>
    <w:p w14:paraId="3A134692">
      <w:pPr>
        <w:spacing w:line="360" w:lineRule="auto"/>
      </w:pPr>
    </w:p>
    <w:p w14:paraId="1059F806">
      <w:pPr>
        <w:spacing w:after="60" w:line="360" w:lineRule="auto"/>
        <w:jc w:val="both"/>
      </w:pPr>
      <w:r>
        <w:rPr>
          <w:rFonts w:ascii="宋体" w:hAnsi="宋体" w:eastAsia="宋体" w:cs="宋体"/>
          <w:b/>
          <w:bCs/>
          <w:sz w:val="32"/>
          <w:szCs w:val="32"/>
        </w:rPr>
        <w:t>4. 全流程联调测试服务</w:t>
      </w:r>
    </w:p>
    <w:p w14:paraId="7C9BF13D">
      <w:pPr>
        <w:spacing w:after="60" w:line="360" w:lineRule="auto"/>
        <w:jc w:val="both"/>
      </w:pPr>
      <w:r>
        <w:rPr>
          <w:rFonts w:ascii="宋体" w:hAnsi="宋体" w:eastAsia="宋体" w:cs="宋体"/>
          <w:sz w:val="32"/>
          <w:szCs w:val="32"/>
        </w:rPr>
        <w:t>（1）内部自测：完成数据完整性、逻辑校验、批量上报、异常数据拦截、重传机制、日志留存全场景自测，输出测试报告；</w:t>
      </w:r>
    </w:p>
    <w:p w14:paraId="763E5D59">
      <w:pPr>
        <w:spacing w:after="60" w:line="360" w:lineRule="auto"/>
        <w:jc w:val="both"/>
      </w:pPr>
      <w:r>
        <w:rPr>
          <w:rFonts w:ascii="宋体" w:hAnsi="宋体" w:eastAsia="宋体" w:cs="宋体"/>
          <w:sz w:val="32"/>
          <w:szCs w:val="32"/>
        </w:rPr>
        <w:t>（2）市级平台联调：配合市疾控智能监测预警平台开展线上对接调试，处理平台返回的报错、字段不匹配、传输失败等各类问题，直至平台无报错、数据实时正常接收。</w:t>
      </w:r>
    </w:p>
    <w:p w14:paraId="74DFF61D">
      <w:pPr>
        <w:spacing w:line="360" w:lineRule="auto"/>
      </w:pPr>
    </w:p>
    <w:p w14:paraId="4B7C0660">
      <w:pPr>
        <w:pStyle w:val="4"/>
        <w:spacing w:before="120" w:after="60" w:line="360" w:lineRule="auto"/>
        <w:ind w:left="0"/>
      </w:pPr>
      <w:r>
        <w:rPr>
          <w:rFonts w:ascii="黑体" w:hAnsi="黑体" w:eastAsia="黑体" w:cs="黑体"/>
          <w:b/>
          <w:bCs/>
          <w:sz w:val="28"/>
          <w:szCs w:val="28"/>
        </w:rPr>
        <w:t>（三）技术规范要求</w:t>
      </w:r>
    </w:p>
    <w:p w14:paraId="48DDE5BC">
      <w:pPr>
        <w:spacing w:after="60" w:line="360" w:lineRule="auto"/>
        <w:jc w:val="both"/>
      </w:pPr>
      <w:r>
        <w:rPr>
          <w:rFonts w:ascii="宋体" w:hAnsi="宋体" w:eastAsia="宋体" w:cs="宋体"/>
          <w:sz w:val="32"/>
          <w:szCs w:val="32"/>
        </w:rPr>
        <w:t>严格对标《重庆市疾病智能监测预警数据集成和API接口规范(试行)-v1.0.13》，若因技术方案不满足规范导致无法通过市级平台验收，所有返工、整改费用由服务商自行承担，且不得延期交付。</w:t>
      </w:r>
    </w:p>
    <w:p w14:paraId="5E088E8A">
      <w:pPr>
        <w:spacing w:line="360" w:lineRule="auto"/>
      </w:pPr>
    </w:p>
    <w:p w14:paraId="0C99F7A9">
      <w:pPr>
        <w:spacing w:after="60" w:line="360" w:lineRule="auto"/>
        <w:jc w:val="both"/>
      </w:pPr>
      <w:r>
        <w:rPr>
          <w:rFonts w:ascii="宋体" w:hAnsi="宋体" w:eastAsia="宋体" w:cs="宋体"/>
          <w:b/>
          <w:bCs/>
          <w:sz w:val="32"/>
          <w:szCs w:val="32"/>
        </w:rPr>
        <w:t>1. 基础接口标准要求</w:t>
      </w:r>
    </w:p>
    <w:p w14:paraId="3EBE72D2">
      <w:pPr>
        <w:spacing w:after="60" w:line="360" w:lineRule="auto"/>
        <w:jc w:val="both"/>
      </w:pPr>
      <w:r>
        <w:rPr>
          <w:rFonts w:ascii="宋体" w:hAnsi="宋体" w:eastAsia="宋体" w:cs="宋体"/>
          <w:sz w:val="32"/>
          <w:szCs w:val="32"/>
        </w:rPr>
        <w:t>（1）通信协议：完全遵循规范规定传输协议、请求方法、端口、域名访问规则，支持HTTPS加密传输，禁用明文传输。</w:t>
      </w:r>
    </w:p>
    <w:p w14:paraId="1085C842">
      <w:pPr>
        <w:spacing w:after="60" w:line="360" w:lineRule="auto"/>
        <w:jc w:val="both"/>
      </w:pPr>
      <w:r>
        <w:rPr>
          <w:rFonts w:ascii="宋体" w:hAnsi="宋体" w:eastAsia="宋体" w:cs="宋体"/>
          <w:sz w:val="32"/>
          <w:szCs w:val="32"/>
        </w:rPr>
        <w:t>（2）身份认证：实现规范要求的鉴权机制，包含密钥、签名、时间戳校验，防止越权调用、数据伪造，签名算法、加密方式与v1.0.13规范完全一致。</w:t>
      </w:r>
    </w:p>
    <w:p w14:paraId="19F6B263">
      <w:pPr>
        <w:spacing w:after="60" w:line="360" w:lineRule="auto"/>
        <w:jc w:val="both"/>
      </w:pPr>
      <w:r>
        <w:rPr>
          <w:rFonts w:ascii="宋体" w:hAnsi="宋体" w:eastAsia="宋体" w:cs="宋体"/>
          <w:sz w:val="32"/>
          <w:szCs w:val="32"/>
        </w:rPr>
        <w:t>（3）报文格式：上报、接收、应答报文结构、JSON节点名称、字段类型、长度约束、枚举值、编码格式严格匹配规范，不得自定义扩展字段，缺失必填字段自动拦截并生成告警日志。</w:t>
      </w:r>
    </w:p>
    <w:p w14:paraId="2ED89386">
      <w:pPr>
        <w:spacing w:after="60" w:line="360" w:lineRule="auto"/>
        <w:jc w:val="both"/>
      </w:pPr>
      <w:r>
        <w:rPr>
          <w:rFonts w:ascii="宋体" w:hAnsi="宋体" w:eastAsia="宋体" w:cs="宋体"/>
          <w:sz w:val="32"/>
          <w:szCs w:val="32"/>
        </w:rPr>
        <w:t>（4）返回码处理：完整适配规范全部业务返回码、异常错误码（详见规范附件三），针对参数错误、数据校验失败、平台限流、鉴权失效、网络中断等场景设置分级处置逻辑，支持自动重试、异常缓存、手动补报。</w:t>
      </w:r>
    </w:p>
    <w:p w14:paraId="6451EC6F">
      <w:pPr>
        <w:spacing w:line="360" w:lineRule="auto"/>
      </w:pPr>
    </w:p>
    <w:p w14:paraId="20F3EF80">
      <w:pPr>
        <w:spacing w:after="60" w:line="360" w:lineRule="auto"/>
        <w:jc w:val="both"/>
      </w:pPr>
      <w:r>
        <w:rPr>
          <w:rFonts w:ascii="宋体" w:hAnsi="宋体" w:eastAsia="宋体" w:cs="宋体"/>
          <w:b/>
          <w:bCs/>
          <w:sz w:val="32"/>
          <w:szCs w:val="32"/>
        </w:rPr>
        <w:t>2. 数据集成技术要求</w:t>
      </w:r>
    </w:p>
    <w:p w14:paraId="652A1508">
      <w:pPr>
        <w:spacing w:after="60" w:line="360" w:lineRule="auto"/>
        <w:jc w:val="both"/>
      </w:pPr>
      <w:r>
        <w:rPr>
          <w:rFonts w:ascii="宋体" w:hAnsi="宋体" w:eastAsia="宋体" w:cs="宋体"/>
          <w:sz w:val="32"/>
          <w:szCs w:val="32"/>
        </w:rPr>
        <w:t>（1）数据源适配：支持对接本院HIS、LIS、传染病登记系统等多业务库，兼容主流数据库（如Oracle、SQL Server、MySQL、openGauss等），支持视图、存储过程、实时触发器多种数据采集方式。</w:t>
      </w:r>
    </w:p>
    <w:p w14:paraId="4D1EC24F">
      <w:pPr>
        <w:spacing w:after="60" w:line="360" w:lineRule="auto"/>
        <w:jc w:val="both"/>
      </w:pPr>
      <w:r>
        <w:rPr>
          <w:rFonts w:ascii="宋体" w:hAnsi="宋体" w:eastAsia="宋体" w:cs="宋体"/>
          <w:sz w:val="32"/>
          <w:szCs w:val="32"/>
        </w:rPr>
        <w:t>（2）数据标准化清洗：按照规范数据元标准完成字段统一转换，含患者基本信息、诊疗信息、检验结果、诊断分类、传染病分类、时间格式、行政区划编码、机构编码标准化；自动剔除空值、非法字符、逻辑矛盾数据，生成异常数据台账供公卫人员核对修正。</w:t>
      </w:r>
    </w:p>
    <w:p w14:paraId="1032A406">
      <w:pPr>
        <w:spacing w:after="60" w:line="360" w:lineRule="auto"/>
        <w:jc w:val="both"/>
      </w:pPr>
      <w:r>
        <w:rPr>
          <w:rFonts w:ascii="宋体" w:hAnsi="宋体" w:eastAsia="宋体" w:cs="宋体"/>
          <w:sz w:val="32"/>
          <w:szCs w:val="32"/>
        </w:rPr>
        <w:t>（3）数据同步频率：严格按照v1.0.13规范第1.5节执行：①实时同步类：患者基本信息、诊疗活动信息、传染病报告卡等在业务发生后实时同步；②2小时内同步类：检验报告及项目在实验室检验结果产生后2小时内同步；③T+0同步类：检查报告、医嘱处方、死亡信息、门急诊病历、入院记录、病程记录、病案首页、出院记录等在保存当天24点前同步。</w:t>
      </w:r>
    </w:p>
    <w:p w14:paraId="37B0DC7E">
      <w:pPr>
        <w:spacing w:after="60" w:line="360" w:lineRule="auto"/>
        <w:jc w:val="both"/>
      </w:pPr>
      <w:r>
        <w:rPr>
          <w:rFonts w:ascii="宋体" w:hAnsi="宋体" w:eastAsia="宋体" w:cs="宋体"/>
          <w:sz w:val="32"/>
          <w:szCs w:val="32"/>
        </w:rPr>
        <w:t>（4）实时上报与批量上报机制：实现增量数据实时抓取上报，支持定时全量补报功能；支持批量报文打包上报，批量条数、报文大小限制严格遵循v1.0.13规范阈值。</w:t>
      </w:r>
    </w:p>
    <w:p w14:paraId="3710CB69">
      <w:pPr>
        <w:spacing w:after="60" w:line="360" w:lineRule="auto"/>
        <w:jc w:val="both"/>
      </w:pPr>
      <w:r>
        <w:rPr>
          <w:rFonts w:ascii="宋体" w:hAnsi="宋体" w:eastAsia="宋体" w:cs="宋体"/>
          <w:sz w:val="32"/>
          <w:szCs w:val="32"/>
        </w:rPr>
        <w:t>（5）数据日志留存：完整记录每一笔接口调用记录，包含请求时间、报文内容、平台返回结果、处理状态、操作人员，日志存储周期不少于3年，支持按日期、患者ID、上报状态检索导出。</w:t>
      </w:r>
    </w:p>
    <w:p w14:paraId="53C867B1">
      <w:pPr>
        <w:spacing w:line="360" w:lineRule="auto"/>
      </w:pPr>
    </w:p>
    <w:p w14:paraId="60F1F1AC">
      <w:pPr>
        <w:spacing w:after="60" w:line="360" w:lineRule="auto"/>
        <w:jc w:val="both"/>
      </w:pPr>
      <w:r>
        <w:rPr>
          <w:rFonts w:ascii="宋体" w:hAnsi="宋体" w:eastAsia="宋体" w:cs="宋体"/>
          <w:b/>
          <w:bCs/>
          <w:sz w:val="32"/>
          <w:szCs w:val="32"/>
        </w:rPr>
        <w:t>3. 异常与预警技术要求</w:t>
      </w:r>
    </w:p>
    <w:p w14:paraId="1868FC16">
      <w:pPr>
        <w:spacing w:after="60" w:line="360" w:lineRule="auto"/>
        <w:jc w:val="both"/>
      </w:pPr>
      <w:r>
        <w:rPr>
          <w:rFonts w:ascii="宋体" w:hAnsi="宋体" w:eastAsia="宋体" w:cs="宋体"/>
          <w:sz w:val="32"/>
          <w:szCs w:val="32"/>
        </w:rPr>
        <w:t>（1）本地预警：接口程序内置校验规则，出现漏报、重复上报、字段不符合规范、上报失败时，后台自动弹窗告警并留存异常清单。</w:t>
      </w:r>
    </w:p>
    <w:p w14:paraId="4789B70B">
      <w:pPr>
        <w:spacing w:after="60" w:line="360" w:lineRule="auto"/>
        <w:jc w:val="both"/>
      </w:pPr>
      <w:r>
        <w:rPr>
          <w:rFonts w:ascii="宋体" w:hAnsi="宋体" w:eastAsia="宋体" w:cs="宋体"/>
          <w:sz w:val="32"/>
          <w:szCs w:val="32"/>
        </w:rPr>
        <w:t>（2）断点续传：网络中断、平台维护时自动缓存待上报数据，恢复连通后自动补发，杜绝数据丢失；支持手动导出缓存数据离线补报。</w:t>
      </w:r>
    </w:p>
    <w:p w14:paraId="684E5D96">
      <w:pPr>
        <w:spacing w:after="60" w:line="360" w:lineRule="auto"/>
        <w:jc w:val="both"/>
      </w:pPr>
      <w:r>
        <w:rPr>
          <w:rFonts w:ascii="宋体" w:hAnsi="宋体" w:eastAsia="宋体" w:cs="宋体"/>
          <w:sz w:val="32"/>
          <w:szCs w:val="32"/>
        </w:rPr>
        <w:t>（3）防重复机制：基于规范唯一业务标识去重，同一病例不重复生成多条上报报文，平台返回重复报错时自动过滤，不产生无效重复请求。</w:t>
      </w:r>
    </w:p>
    <w:p w14:paraId="5C9020D9">
      <w:pPr>
        <w:spacing w:line="360" w:lineRule="auto"/>
      </w:pPr>
    </w:p>
    <w:p w14:paraId="4B1F2BDC">
      <w:pPr>
        <w:spacing w:after="60" w:line="360" w:lineRule="auto"/>
        <w:jc w:val="both"/>
      </w:pPr>
      <w:r>
        <w:rPr>
          <w:rFonts w:ascii="宋体" w:hAnsi="宋体" w:eastAsia="宋体" w:cs="宋体"/>
          <w:b/>
          <w:bCs/>
          <w:sz w:val="32"/>
          <w:szCs w:val="32"/>
        </w:rPr>
        <w:t>4. 值域代码表适配要求</w:t>
      </w:r>
    </w:p>
    <w:p w14:paraId="297F60B6">
      <w:pPr>
        <w:spacing w:after="60" w:line="360" w:lineRule="auto"/>
        <w:jc w:val="both"/>
      </w:pPr>
      <w:r>
        <w:rPr>
          <w:rFonts w:ascii="宋体" w:hAnsi="宋体" w:eastAsia="宋体" w:cs="宋体"/>
          <w:sz w:val="32"/>
          <w:szCs w:val="32"/>
        </w:rPr>
        <w:t>严格按照规范附件一完成全部70类值域代码表的映射与适配，包括但不限于：身份证件类别代码、性别代码、民族代码、婚姻状况代码、地区/机构代码、药品代码、检查类别代码、检查项目代码、检查结果代码、检验结果代码、传染病诊断ICD10代码、国籍代码、文化程度代码、户籍地址类别代码、现住址类别代码、人群分类代码、病例分类代码、诊断状态代码、感染途径代码、直接死亡诊断代码、发现方式代码、接触方式代码、临床严重程度代码、科室代码表、诊疗活动类型代码、中医病证分类与代码、中医临床诊疗术语代码、家庭关系代码、医疗付费方式代码、标本类别代码、药物剂量单位代码、病情转归代码表、触发时机代码表、特殊就诊标识代码表、民政行政区划代码表、职业类别代码、心律代码表、口唇代码表、齿列代码表、咽部代码表、听力代码表、眼底检查代码表、巩膜代码表、下肢水肿代码表、足背动脉搏动代码表、超声心动图印象表、心电图检查结果表、儿童患者疾病诊断代码表、结核病相关代码表（含治疗方案、发现方式、不良反应分类、严重程度、处理方式）、重点人群代码表、病案类别代码表、患者诊断分型代码表、诊断结果代码表、登记分类代码表、治疗分类代码表、离院方式代码表、医防协同提醒业务分类、百日咳临床严重程度代码、感染地代码、病毒分型代码等。</w:t>
      </w:r>
    </w:p>
    <w:p w14:paraId="0664D327">
      <w:pPr>
        <w:spacing w:line="360" w:lineRule="auto"/>
      </w:pPr>
    </w:p>
    <w:p w14:paraId="50799AC5">
      <w:pPr>
        <w:spacing w:after="60" w:line="360" w:lineRule="auto"/>
        <w:jc w:val="both"/>
      </w:pPr>
      <w:r>
        <w:rPr>
          <w:rFonts w:ascii="宋体" w:hAnsi="宋体" w:eastAsia="宋体" w:cs="宋体"/>
          <w:b/>
          <w:bCs/>
          <w:sz w:val="32"/>
          <w:szCs w:val="32"/>
        </w:rPr>
        <w:t>5. 实验室检验项目采集范围</w:t>
      </w:r>
    </w:p>
    <w:p w14:paraId="7DC9F620">
      <w:pPr>
        <w:spacing w:after="60" w:line="360" w:lineRule="auto"/>
        <w:jc w:val="both"/>
      </w:pPr>
      <w:r>
        <w:rPr>
          <w:rFonts w:ascii="宋体" w:hAnsi="宋体" w:eastAsia="宋体" w:cs="宋体"/>
          <w:sz w:val="32"/>
          <w:szCs w:val="32"/>
        </w:rPr>
        <w:t>严格按照规范附件二完成实验室检验项目采集范围的适配：</w:t>
      </w:r>
    </w:p>
    <w:p w14:paraId="42CBFE44">
      <w:pPr>
        <w:spacing w:after="60" w:line="360" w:lineRule="auto"/>
        <w:jc w:val="both"/>
      </w:pPr>
      <w:r>
        <w:rPr>
          <w:rFonts w:ascii="宋体" w:hAnsi="宋体" w:eastAsia="宋体" w:cs="宋体"/>
          <w:sz w:val="32"/>
          <w:szCs w:val="32"/>
        </w:rPr>
        <w:t>（1）实验室病原体检验采集范围：涵盖541项病原体检验项目，包括流感病毒（甲型/乙型）、新型冠状病毒、SARS冠状病毒、MERS冠状病毒、禽流感病毒（H5N1/H7N9/H9N2等禽源）、艾滋病毒、梅毒螺旋体、结核分枝杆菌、肝炎病毒、肠道病原体、真菌等全部病原体类别；</w:t>
      </w:r>
    </w:p>
    <w:p w14:paraId="6B7A2DF3">
      <w:pPr>
        <w:spacing w:after="60" w:line="360" w:lineRule="auto"/>
        <w:jc w:val="both"/>
      </w:pPr>
      <w:r>
        <w:rPr>
          <w:rFonts w:ascii="宋体" w:hAnsi="宋体" w:eastAsia="宋体" w:cs="宋体"/>
          <w:sz w:val="32"/>
          <w:szCs w:val="32"/>
        </w:rPr>
        <w:t>（2）实验室临床生化检验采集范围：涵盖41项临床生化检验项目；</w:t>
      </w:r>
    </w:p>
    <w:p w14:paraId="0EA2238D">
      <w:pPr>
        <w:spacing w:after="60" w:line="360" w:lineRule="auto"/>
        <w:jc w:val="both"/>
      </w:pPr>
      <w:r>
        <w:rPr>
          <w:rFonts w:ascii="宋体" w:hAnsi="宋体" w:eastAsia="宋体" w:cs="宋体"/>
          <w:sz w:val="32"/>
          <w:szCs w:val="32"/>
        </w:rPr>
        <w:t>（3）实验室药敏检验采集范围：涵盖45项药敏检验项目。</w:t>
      </w:r>
    </w:p>
    <w:p w14:paraId="3258D5B1">
      <w:pPr>
        <w:spacing w:line="360" w:lineRule="auto"/>
      </w:pPr>
    </w:p>
    <w:p w14:paraId="162AECE4">
      <w:pPr>
        <w:spacing w:after="60" w:line="360" w:lineRule="auto"/>
        <w:jc w:val="both"/>
      </w:pPr>
      <w:r>
        <w:rPr>
          <w:rFonts w:ascii="宋体" w:hAnsi="宋体" w:eastAsia="宋体" w:cs="宋体"/>
          <w:b/>
          <w:bCs/>
          <w:sz w:val="32"/>
          <w:szCs w:val="32"/>
        </w:rPr>
        <w:t>6. 数据校验规则执行要求</w:t>
      </w:r>
    </w:p>
    <w:p w14:paraId="0168FD3E">
      <w:pPr>
        <w:spacing w:after="60" w:line="360" w:lineRule="auto"/>
        <w:jc w:val="both"/>
      </w:pPr>
      <w:r>
        <w:rPr>
          <w:rFonts w:ascii="宋体" w:hAnsi="宋体" w:eastAsia="宋体" w:cs="宋体"/>
          <w:sz w:val="32"/>
          <w:szCs w:val="32"/>
        </w:rPr>
        <w:t>严格按照v1.0.13规范第1.6节数据校验规则说明执行：</w:t>
      </w:r>
    </w:p>
    <w:p w14:paraId="5F002356">
      <w:pPr>
        <w:spacing w:after="60" w:line="360" w:lineRule="auto"/>
        <w:jc w:val="both"/>
      </w:pPr>
      <w:r>
        <w:rPr>
          <w:rFonts w:ascii="宋体" w:hAnsi="宋体" w:eastAsia="宋体" w:cs="宋体"/>
          <w:sz w:val="32"/>
          <w:szCs w:val="32"/>
        </w:rPr>
        <w:t>（1）必填：医院信息系统提供该数据项时必须填写，不填写将无法通过前置软件校验，数据无法存储；</w:t>
      </w:r>
    </w:p>
    <w:p w14:paraId="23646768">
      <w:pPr>
        <w:spacing w:after="60" w:line="360" w:lineRule="auto"/>
        <w:jc w:val="both"/>
      </w:pPr>
      <w:r>
        <w:rPr>
          <w:rFonts w:ascii="宋体" w:hAnsi="宋体" w:eastAsia="宋体" w:cs="宋体"/>
          <w:sz w:val="32"/>
          <w:szCs w:val="32"/>
        </w:rPr>
        <w:t>（2）建议填：从业务监测角度为必填或条件必填数据项，要求医院信息系统提供，前置软件不进行必填校验，如无法提供可在前置软件中补录；</w:t>
      </w:r>
    </w:p>
    <w:p w14:paraId="65302B7D">
      <w:pPr>
        <w:spacing w:after="60" w:line="360" w:lineRule="auto"/>
        <w:jc w:val="both"/>
      </w:pPr>
      <w:r>
        <w:rPr>
          <w:rFonts w:ascii="宋体" w:hAnsi="宋体" w:eastAsia="宋体" w:cs="宋体"/>
          <w:sz w:val="32"/>
          <w:szCs w:val="32"/>
        </w:rPr>
        <w:t>（3）非必填：非必填，医院信息系统已采集该数据项时提供；</w:t>
      </w:r>
    </w:p>
    <w:p w14:paraId="5CD04EF0">
      <w:pPr>
        <w:spacing w:after="60" w:line="360" w:lineRule="auto"/>
        <w:jc w:val="both"/>
      </w:pPr>
      <w:r>
        <w:rPr>
          <w:rFonts w:ascii="宋体" w:hAnsi="宋体" w:eastAsia="宋体" w:cs="宋体"/>
          <w:sz w:val="32"/>
          <w:szCs w:val="32"/>
        </w:rPr>
        <w:t>（4）条件必填：当所述条件满足时，医院信息系统必须向前置软件提供该数据项。</w:t>
      </w:r>
    </w:p>
    <w:p w14:paraId="09D44696">
      <w:pPr>
        <w:spacing w:line="360" w:lineRule="auto"/>
      </w:pPr>
    </w:p>
    <w:p w14:paraId="61CFCB0E">
      <w:pPr>
        <w:spacing w:after="60" w:line="360" w:lineRule="auto"/>
        <w:jc w:val="both"/>
      </w:pPr>
      <w:r>
        <w:rPr>
          <w:rFonts w:ascii="宋体" w:hAnsi="宋体" w:eastAsia="宋体" w:cs="宋体"/>
          <w:b/>
          <w:bCs/>
          <w:sz w:val="32"/>
          <w:szCs w:val="32"/>
        </w:rPr>
        <w:t>7. 接口调用顺序要求</w:t>
      </w:r>
    </w:p>
    <w:p w14:paraId="24923751">
      <w:pPr>
        <w:spacing w:after="60" w:line="360" w:lineRule="auto"/>
        <w:jc w:val="both"/>
      </w:pPr>
      <w:r>
        <w:rPr>
          <w:rFonts w:ascii="宋体" w:hAnsi="宋体" w:eastAsia="宋体" w:cs="宋体"/>
          <w:sz w:val="32"/>
          <w:szCs w:val="32"/>
        </w:rPr>
        <w:t>严格按照v1.0.13规范第1.8.1节接口调用时间先后顺序执行，确保各阶段数据按依赖关系正确传输，避免因调用顺序不当导致临床医生下行数据缺项或识别为复诊等问题。</w:t>
      </w:r>
    </w:p>
    <w:p w14:paraId="14FE0454">
      <w:pPr>
        <w:spacing w:line="360" w:lineRule="auto"/>
      </w:pPr>
    </w:p>
    <w:p w14:paraId="6E5B2930">
      <w:pPr>
        <w:spacing w:after="60" w:line="360" w:lineRule="auto"/>
        <w:jc w:val="both"/>
      </w:pPr>
      <w:r>
        <w:rPr>
          <w:rFonts w:ascii="宋体" w:hAnsi="宋体" w:eastAsia="宋体" w:cs="宋体"/>
          <w:b/>
          <w:bCs/>
          <w:sz w:val="32"/>
          <w:szCs w:val="32"/>
        </w:rPr>
        <w:t>8. 与其他系统关联性要求</w:t>
      </w:r>
    </w:p>
    <w:p w14:paraId="52997AEA">
      <w:pPr>
        <w:spacing w:after="60" w:line="360" w:lineRule="auto"/>
        <w:jc w:val="both"/>
        <w:rPr>
          <w:rFonts w:hint="default" w:eastAsia="宋体"/>
          <w:lang w:val="en-US" w:eastAsia="zh-CN"/>
        </w:rPr>
      </w:pPr>
      <w:r>
        <w:rPr>
          <w:rFonts w:hint="eastAsia" w:cs="宋体"/>
          <w:sz w:val="32"/>
          <w:szCs w:val="32"/>
          <w:lang w:val="en-US" w:eastAsia="zh-CN"/>
        </w:rPr>
        <w:t>(1)</w:t>
      </w:r>
      <w:r>
        <w:rPr>
          <w:rFonts w:ascii="宋体" w:hAnsi="宋体" w:eastAsia="宋体" w:cs="宋体"/>
          <w:sz w:val="32"/>
          <w:szCs w:val="32"/>
        </w:rPr>
        <w:t>确保医院HIS、EMR、LIS、PACS等各系统间以下关联识别数据保持一致：就诊流水号（唯一标识患者一次诊疗活动）、患者ID（院内唯一识别标识号）、患者姓名、证件类型和证件号码。</w:t>
      </w:r>
    </w:p>
    <w:p w14:paraId="24E24D2A">
      <w:r>
        <w:rPr>
          <w:rFonts w:hint="eastAsia"/>
          <w:lang w:eastAsia="zh-CN"/>
        </w:rPr>
        <w:t>（</w:t>
      </w:r>
      <w:r>
        <w:rPr>
          <w:rFonts w:hint="eastAsia"/>
          <w:lang w:val="en-US" w:eastAsia="zh-CN"/>
        </w:rPr>
        <w:t>2</w:t>
      </w:r>
      <w:r>
        <w:rPr>
          <w:rFonts w:hint="eastAsia"/>
          <w:lang w:eastAsia="zh-CN"/>
        </w:rPr>
        <w:t>）</w:t>
      </w:r>
      <w:r>
        <w:rPr>
          <w:rFonts w:hint="eastAsia"/>
          <w:lang w:val="en-US" w:eastAsia="zh-CN"/>
        </w:rPr>
        <w:t>关联可能产生的第三方接口费用由中标方自行支付。</w:t>
      </w:r>
      <w:r>
        <w:br w:type="page"/>
      </w:r>
    </w:p>
    <w:p w14:paraId="2F4A60BC">
      <w:pPr>
        <w:pStyle w:val="2"/>
        <w:spacing w:before="240" w:after="120" w:line="400" w:lineRule="auto"/>
        <w:jc w:val="center"/>
      </w:pPr>
      <w:bookmarkStart w:id="2" w:name="_Toc27617"/>
      <w:r>
        <w:rPr>
          <w:rFonts w:ascii="黑体" w:hAnsi="黑体" w:eastAsia="黑体" w:cs="黑体"/>
          <w:b/>
          <w:bCs/>
          <w:sz w:val="44"/>
          <w:szCs w:val="44"/>
        </w:rPr>
        <w:t>第三篇  项目商务需求</w:t>
      </w:r>
      <w:bookmarkEnd w:id="2"/>
    </w:p>
    <w:p w14:paraId="07356A75">
      <w:pPr>
        <w:pStyle w:val="3"/>
        <w:spacing w:before="160" w:after="80" w:line="360" w:lineRule="auto"/>
      </w:pPr>
      <w:r>
        <w:rPr>
          <w:rFonts w:ascii="黑体" w:hAnsi="黑体" w:eastAsia="黑体" w:cs="黑体"/>
          <w:b/>
          <w:bCs/>
          <w:sz w:val="32"/>
          <w:szCs w:val="32"/>
        </w:rPr>
        <w:t>一、服务期、地点</w:t>
      </w:r>
    </w:p>
    <w:p w14:paraId="246BEE80">
      <w:pPr>
        <w:spacing w:after="60" w:line="360" w:lineRule="auto"/>
        <w:jc w:val="both"/>
      </w:pPr>
      <w:r>
        <w:rPr>
          <w:rFonts w:ascii="宋体" w:hAnsi="宋体" w:eastAsia="宋体" w:cs="宋体"/>
          <w:sz w:val="32"/>
          <w:szCs w:val="32"/>
        </w:rPr>
        <w:t>1.服务期：合同签订后15个工作日完成改造，验收</w:t>
      </w:r>
      <w:r>
        <w:rPr>
          <w:rFonts w:hint="eastAsia" w:cs="宋体"/>
          <w:sz w:val="32"/>
          <w:szCs w:val="32"/>
          <w:lang w:val="en-US" w:eastAsia="zh-CN"/>
        </w:rPr>
        <w:t>合格</w:t>
      </w:r>
      <w:bookmarkStart w:id="7" w:name="_GoBack"/>
      <w:bookmarkEnd w:id="7"/>
      <w:r>
        <w:rPr>
          <w:rFonts w:ascii="宋体" w:hAnsi="宋体" w:eastAsia="宋体" w:cs="宋体"/>
          <w:sz w:val="32"/>
          <w:szCs w:val="32"/>
        </w:rPr>
        <w:t>后免费维保期1年。</w:t>
      </w:r>
    </w:p>
    <w:p w14:paraId="4DB55C93">
      <w:pPr>
        <w:spacing w:after="60" w:line="360" w:lineRule="auto"/>
        <w:jc w:val="both"/>
      </w:pPr>
      <w:r>
        <w:rPr>
          <w:rFonts w:ascii="宋体" w:hAnsi="宋体" w:eastAsia="宋体" w:cs="宋体"/>
          <w:sz w:val="32"/>
          <w:szCs w:val="32"/>
        </w:rPr>
        <w:t>2.服务地点：重庆市两江新区人和街道金开大道2号。</w:t>
      </w:r>
    </w:p>
    <w:p w14:paraId="11F52BBD">
      <w:pPr>
        <w:spacing w:after="60" w:line="360" w:lineRule="auto"/>
        <w:jc w:val="both"/>
      </w:pPr>
      <w:r>
        <w:rPr>
          <w:rFonts w:ascii="宋体" w:hAnsi="宋体" w:eastAsia="宋体" w:cs="宋体"/>
          <w:sz w:val="32"/>
          <w:szCs w:val="32"/>
        </w:rPr>
        <w:t>3.运维服务：提供7×24小时远程技术支持，2小时响应故障，4小时给出解决方案；免费修复规范更新适配、接口报错、数据漏报错报问题。</w:t>
      </w:r>
    </w:p>
    <w:p w14:paraId="27518122">
      <w:pPr>
        <w:spacing w:after="60" w:line="360" w:lineRule="auto"/>
        <w:jc w:val="both"/>
      </w:pPr>
      <w:r>
        <w:rPr>
          <w:rFonts w:ascii="宋体" w:hAnsi="宋体" w:eastAsia="宋体" w:cs="宋体"/>
          <w:sz w:val="32"/>
          <w:szCs w:val="32"/>
        </w:rPr>
        <w:t>4.免费维保期内，若重庆市更新《疾病智能监测预警数据集成和API接口规范》版本，服务商免费完成接口适配改造、重新联调验收。</w:t>
      </w:r>
    </w:p>
    <w:p w14:paraId="261BFC34">
      <w:pPr>
        <w:pStyle w:val="3"/>
        <w:spacing w:before="160" w:after="80" w:line="360" w:lineRule="auto"/>
      </w:pPr>
      <w:r>
        <w:rPr>
          <w:rFonts w:ascii="黑体" w:hAnsi="黑体" w:eastAsia="黑体" w:cs="黑体"/>
          <w:b/>
          <w:bCs/>
          <w:sz w:val="32"/>
          <w:szCs w:val="32"/>
        </w:rPr>
        <w:t>二、报价要求</w:t>
      </w:r>
    </w:p>
    <w:p w14:paraId="549A7269">
      <w:pPr>
        <w:spacing w:after="60" w:line="360" w:lineRule="auto"/>
        <w:jc w:val="both"/>
      </w:pPr>
      <w:r>
        <w:rPr>
          <w:rFonts w:ascii="宋体" w:hAnsi="宋体" w:eastAsia="宋体" w:cs="宋体"/>
          <w:sz w:val="32"/>
          <w:szCs w:val="32"/>
        </w:rPr>
        <w:t>本次报价须为人民币报价，报价包含但不限于：人工费、差旅费、税费、服务费</w:t>
      </w:r>
      <w:r>
        <w:rPr>
          <w:rFonts w:hint="eastAsia" w:cs="宋体"/>
          <w:sz w:val="32"/>
          <w:szCs w:val="32"/>
          <w:lang w:eastAsia="zh-CN"/>
        </w:rPr>
        <w:t>、</w:t>
      </w:r>
      <w:r>
        <w:rPr>
          <w:rFonts w:hint="eastAsia" w:cs="宋体"/>
          <w:sz w:val="32"/>
          <w:szCs w:val="32"/>
          <w:lang w:val="en-US" w:eastAsia="zh-CN"/>
        </w:rPr>
        <w:t>第三方接口费</w:t>
      </w:r>
      <w:r>
        <w:rPr>
          <w:rFonts w:ascii="宋体" w:hAnsi="宋体" w:eastAsia="宋体" w:cs="宋体"/>
          <w:sz w:val="32"/>
          <w:szCs w:val="32"/>
        </w:rPr>
        <w:t>等。</w:t>
      </w:r>
    </w:p>
    <w:p w14:paraId="06C589FC">
      <w:pPr>
        <w:pStyle w:val="3"/>
        <w:spacing w:before="160" w:after="80" w:line="360" w:lineRule="auto"/>
      </w:pPr>
      <w:r>
        <w:rPr>
          <w:rFonts w:ascii="黑体" w:hAnsi="黑体" w:eastAsia="黑体" w:cs="黑体"/>
          <w:b/>
          <w:bCs/>
          <w:sz w:val="32"/>
          <w:szCs w:val="32"/>
        </w:rPr>
        <w:t>三、验收要求</w:t>
      </w:r>
    </w:p>
    <w:p w14:paraId="6E223FCB">
      <w:pPr>
        <w:spacing w:after="60" w:line="360" w:lineRule="auto"/>
        <w:jc w:val="both"/>
      </w:pPr>
      <w:r>
        <w:rPr>
          <w:rFonts w:ascii="宋体" w:hAnsi="宋体" w:eastAsia="宋体" w:cs="宋体"/>
          <w:sz w:val="32"/>
          <w:szCs w:val="32"/>
        </w:rPr>
        <w:t>验收合格条件：数据质量达到95%及以上视为验收合格。</w:t>
      </w:r>
    </w:p>
    <w:p w14:paraId="0DC4AA43">
      <w:pPr>
        <w:pStyle w:val="3"/>
        <w:spacing w:before="160" w:after="80" w:line="360" w:lineRule="auto"/>
      </w:pPr>
      <w:r>
        <w:rPr>
          <w:rFonts w:ascii="黑体" w:hAnsi="黑体" w:eastAsia="黑体" w:cs="黑体"/>
          <w:b/>
          <w:bCs/>
          <w:sz w:val="32"/>
          <w:szCs w:val="32"/>
        </w:rPr>
        <w:t>四、付款方式</w:t>
      </w:r>
    </w:p>
    <w:p w14:paraId="0757E94F">
      <w:pPr>
        <w:spacing w:after="60" w:line="360" w:lineRule="auto"/>
        <w:jc w:val="both"/>
      </w:pPr>
      <w:r>
        <w:rPr>
          <w:rFonts w:ascii="宋体" w:hAnsi="宋体" w:eastAsia="宋体" w:cs="宋体"/>
          <w:sz w:val="32"/>
          <w:szCs w:val="32"/>
        </w:rPr>
        <w:t>验收合格后，服务方开具合同金额100%正规发票，采购人在10个工作日完成全额支付。</w:t>
      </w:r>
    </w:p>
    <w:p w14:paraId="4C9564EA">
      <w:pPr>
        <w:pStyle w:val="3"/>
        <w:spacing w:before="160" w:after="80" w:line="360" w:lineRule="auto"/>
      </w:pPr>
      <w:r>
        <w:rPr>
          <w:rFonts w:ascii="黑体" w:hAnsi="黑体" w:eastAsia="黑体" w:cs="黑体"/>
          <w:b/>
          <w:bCs/>
          <w:sz w:val="32"/>
          <w:szCs w:val="32"/>
        </w:rPr>
        <w:t>五、知识产权</w:t>
      </w:r>
    </w:p>
    <w:p w14:paraId="0D63AF24">
      <w:pPr>
        <w:spacing w:after="60" w:line="360" w:lineRule="auto"/>
        <w:ind w:firstLine="640" w:firstLineChars="200"/>
        <w:jc w:val="both"/>
      </w:pPr>
      <w:r>
        <w:rPr>
          <w:rFonts w:ascii="宋体" w:hAnsi="宋体" w:eastAsia="宋体" w:cs="宋体"/>
          <w:sz w:val="32"/>
          <w:szCs w:val="32"/>
        </w:rPr>
        <w:t>采购人在中华人民共和国境内使用成交供应商提供的服务时免受第三方提出的侵犯其专利权或其它知识产权的起诉。如果第三方提出侵权指控，成交供应商应承担由此而引起的一切法律责任和费用。</w:t>
      </w:r>
    </w:p>
    <w:p w14:paraId="70AC9992">
      <w:pPr>
        <w:pStyle w:val="3"/>
        <w:spacing w:before="160" w:after="80" w:line="360" w:lineRule="auto"/>
      </w:pPr>
      <w:r>
        <w:rPr>
          <w:rFonts w:ascii="黑体" w:hAnsi="黑体" w:eastAsia="黑体" w:cs="黑体"/>
          <w:b/>
          <w:bCs/>
          <w:sz w:val="32"/>
          <w:szCs w:val="32"/>
        </w:rPr>
        <w:t>六、培训</w:t>
      </w:r>
    </w:p>
    <w:p w14:paraId="7AED3FE4">
      <w:pPr>
        <w:spacing w:after="60" w:line="360" w:lineRule="auto"/>
        <w:jc w:val="both"/>
      </w:pPr>
      <w:r>
        <w:rPr>
          <w:rFonts w:ascii="宋体" w:hAnsi="宋体" w:eastAsia="宋体" w:cs="宋体"/>
          <w:sz w:val="32"/>
          <w:szCs w:val="32"/>
        </w:rPr>
        <w:t>成交供应商须提供对所服务系统的操作培训。</w:t>
      </w:r>
    </w:p>
    <w:p w14:paraId="3F55E726">
      <w:pPr>
        <w:pStyle w:val="3"/>
        <w:spacing w:before="160" w:after="80" w:line="360" w:lineRule="auto"/>
      </w:pPr>
      <w:r>
        <w:rPr>
          <w:rFonts w:ascii="黑体" w:hAnsi="黑体" w:eastAsia="黑体" w:cs="黑体"/>
          <w:b/>
          <w:bCs/>
          <w:sz w:val="32"/>
          <w:szCs w:val="32"/>
        </w:rPr>
        <w:t>七、其他商务要求内容</w:t>
      </w:r>
    </w:p>
    <w:p w14:paraId="638FDCC0">
      <w:pPr>
        <w:spacing w:after="60" w:line="360" w:lineRule="auto"/>
        <w:jc w:val="both"/>
      </w:pPr>
      <w:r>
        <w:rPr>
          <w:rFonts w:ascii="宋体" w:hAnsi="宋体" w:eastAsia="宋体" w:cs="宋体"/>
          <w:sz w:val="32"/>
          <w:szCs w:val="32"/>
        </w:rPr>
        <w:t>（一）供应商必须在响应文件中对以上条款和服务承诺明确列出，承诺内容必须达到本篇及询价文件其他条款的要求。</w:t>
      </w:r>
    </w:p>
    <w:p w14:paraId="7274F36B">
      <w:pPr>
        <w:spacing w:after="60" w:line="360" w:lineRule="auto"/>
        <w:jc w:val="both"/>
      </w:pPr>
      <w:r>
        <w:rPr>
          <w:rFonts w:ascii="宋体" w:hAnsi="宋体" w:eastAsia="宋体" w:cs="宋体"/>
          <w:sz w:val="32"/>
          <w:szCs w:val="32"/>
        </w:rPr>
        <w:t>（二）其他未尽事宜由供需双方在采购合同中详细约定。</w:t>
      </w:r>
    </w:p>
    <w:p w14:paraId="25C02946">
      <w:r>
        <w:br w:type="page"/>
      </w:r>
    </w:p>
    <w:p w14:paraId="11F69BDD">
      <w:pPr>
        <w:pStyle w:val="2"/>
        <w:spacing w:before="240" w:after="120" w:line="400" w:lineRule="auto"/>
        <w:jc w:val="center"/>
      </w:pPr>
      <w:bookmarkStart w:id="3" w:name="_Toc17225"/>
      <w:r>
        <w:rPr>
          <w:rFonts w:ascii="黑体" w:hAnsi="黑体" w:eastAsia="黑体" w:cs="黑体"/>
          <w:b/>
          <w:bCs/>
          <w:sz w:val="44"/>
          <w:szCs w:val="44"/>
        </w:rPr>
        <w:t>第四篇  竞争性比选程序及方法、评审标准、响应无效和采购终止</w:t>
      </w:r>
      <w:bookmarkEnd w:id="3"/>
    </w:p>
    <w:p w14:paraId="7DA47A33">
      <w:pPr>
        <w:pStyle w:val="3"/>
        <w:spacing w:before="160" w:after="80" w:line="360" w:lineRule="auto"/>
      </w:pPr>
      <w:r>
        <w:rPr>
          <w:rFonts w:ascii="黑体" w:hAnsi="黑体" w:eastAsia="黑体" w:cs="黑体"/>
          <w:b/>
          <w:bCs/>
          <w:sz w:val="32"/>
          <w:szCs w:val="32"/>
        </w:rPr>
        <w:t>一、竞争性比选程序及方法</w:t>
      </w:r>
    </w:p>
    <w:p w14:paraId="0D2BCBFF">
      <w:pPr>
        <w:spacing w:after="60" w:line="360" w:lineRule="auto"/>
        <w:jc w:val="both"/>
      </w:pPr>
      <w:r>
        <w:rPr>
          <w:rFonts w:ascii="宋体" w:hAnsi="宋体" w:eastAsia="宋体" w:cs="宋体"/>
          <w:sz w:val="32"/>
          <w:szCs w:val="32"/>
        </w:rPr>
        <w:t>（一）竞争性比选按此文件规定的时间和地点进行，供应商须按要求递交响应文件。</w:t>
      </w:r>
    </w:p>
    <w:p w14:paraId="7AA65815">
      <w:pPr>
        <w:spacing w:after="60" w:line="360" w:lineRule="auto"/>
        <w:jc w:val="both"/>
      </w:pPr>
      <w:r>
        <w:rPr>
          <w:rFonts w:ascii="宋体" w:hAnsi="宋体" w:eastAsia="宋体" w:cs="宋体"/>
          <w:sz w:val="32"/>
          <w:szCs w:val="32"/>
        </w:rPr>
        <w:t>（二）竞争性比选评审小组对各供应商的资格条件、响应文件的有效性、完整性和响应程度进行审查。各供应商只有在完全符合要求的前提下，才能参与正式竞争性比选。</w:t>
      </w:r>
    </w:p>
    <w:p w14:paraId="2211FF7D">
      <w:pPr>
        <w:spacing w:line="360" w:lineRule="auto"/>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7"/>
        <w:gridCol w:w="2221"/>
        <w:gridCol w:w="5708"/>
      </w:tblGrid>
      <w:tr w14:paraId="4103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000000" w:sz="0" w:space="0"/>
              <w:left w:val="single" w:color="000000" w:sz="0" w:space="0"/>
              <w:bottom w:val="single" w:color="000000" w:sz="0" w:space="0"/>
              <w:right w:val="single" w:color="000000" w:sz="0" w:space="0"/>
            </w:tcBorders>
            <w:shd w:val="clear" w:color="auto" w:fill="D5E8F0"/>
          </w:tcPr>
          <w:p w14:paraId="3BECE340">
            <w:pPr>
              <w:spacing w:line="300" w:lineRule="auto"/>
              <w:jc w:val="center"/>
            </w:pPr>
            <w:r>
              <w:rPr>
                <w:rFonts w:ascii="宋体" w:hAnsi="宋体" w:eastAsia="宋体" w:cs="宋体"/>
                <w:sz w:val="28"/>
                <w:szCs w:val="28"/>
              </w:rPr>
              <w:t>序号</w:t>
            </w:r>
          </w:p>
        </w:tc>
        <w:tc>
          <w:tcPr>
            <w:tcW w:w="2400" w:type="dxa"/>
            <w:tcBorders>
              <w:top w:val="single" w:color="000000" w:sz="0" w:space="0"/>
              <w:left w:val="single" w:color="000000" w:sz="0" w:space="0"/>
              <w:bottom w:val="single" w:color="000000" w:sz="0" w:space="0"/>
              <w:right w:val="single" w:color="000000" w:sz="0" w:space="0"/>
            </w:tcBorders>
            <w:shd w:val="clear" w:color="auto" w:fill="D5E8F0"/>
          </w:tcPr>
          <w:p w14:paraId="09BFF65A">
            <w:pPr>
              <w:spacing w:line="300" w:lineRule="auto"/>
              <w:jc w:val="center"/>
            </w:pPr>
            <w:r>
              <w:rPr>
                <w:rFonts w:ascii="宋体" w:hAnsi="宋体" w:eastAsia="宋体" w:cs="宋体"/>
                <w:sz w:val="28"/>
                <w:szCs w:val="28"/>
              </w:rPr>
              <w:t>检查因素</w:t>
            </w:r>
          </w:p>
        </w:tc>
        <w:tc>
          <w:tcPr>
            <w:tcW w:w="6160" w:type="dxa"/>
            <w:tcBorders>
              <w:top w:val="single" w:color="000000" w:sz="0" w:space="0"/>
              <w:left w:val="single" w:color="000000" w:sz="0" w:space="0"/>
              <w:bottom w:val="single" w:color="000000" w:sz="0" w:space="0"/>
              <w:right w:val="single" w:color="000000" w:sz="0" w:space="0"/>
            </w:tcBorders>
            <w:shd w:val="clear" w:color="auto" w:fill="D5E8F0"/>
          </w:tcPr>
          <w:p w14:paraId="6B32D228">
            <w:pPr>
              <w:spacing w:line="300" w:lineRule="auto"/>
              <w:jc w:val="center"/>
            </w:pPr>
            <w:r>
              <w:rPr>
                <w:rFonts w:ascii="宋体" w:hAnsi="宋体" w:eastAsia="宋体" w:cs="宋体"/>
                <w:sz w:val="28"/>
                <w:szCs w:val="28"/>
              </w:rPr>
              <w:t>检查内容</w:t>
            </w:r>
          </w:p>
        </w:tc>
      </w:tr>
      <w:tr w14:paraId="5E2A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594C86AD">
            <w:pPr>
              <w:spacing w:line="300" w:lineRule="auto"/>
              <w:jc w:val="center"/>
            </w:pPr>
            <w:r>
              <w:rPr>
                <w:rFonts w:ascii="宋体" w:hAnsi="宋体" w:eastAsia="宋体" w:cs="宋体"/>
                <w:sz w:val="28"/>
                <w:szCs w:val="28"/>
              </w:rPr>
              <w:t>1</w:t>
            </w:r>
          </w:p>
        </w:tc>
        <w:tc>
          <w:tcPr>
            <w:tcW w:w="2400" w:type="dxa"/>
            <w:tcBorders>
              <w:top w:val="single" w:color="000000" w:sz="0" w:space="0"/>
              <w:left w:val="single" w:color="000000" w:sz="0" w:space="0"/>
              <w:bottom w:val="single" w:color="000000" w:sz="0" w:space="0"/>
              <w:right w:val="single" w:color="000000" w:sz="0" w:space="0"/>
            </w:tcBorders>
          </w:tcPr>
          <w:p w14:paraId="25852CFD">
            <w:pPr>
              <w:spacing w:line="300" w:lineRule="auto"/>
              <w:jc w:val="left"/>
            </w:pPr>
            <w:r>
              <w:rPr>
                <w:rFonts w:ascii="宋体" w:hAnsi="宋体" w:eastAsia="宋体" w:cs="宋体"/>
                <w:sz w:val="28"/>
                <w:szCs w:val="28"/>
              </w:rPr>
              <w:t>独立承担民事责任的能力</w:t>
            </w:r>
          </w:p>
        </w:tc>
        <w:tc>
          <w:tcPr>
            <w:tcW w:w="6160" w:type="dxa"/>
            <w:tcBorders>
              <w:top w:val="single" w:color="000000" w:sz="0" w:space="0"/>
              <w:left w:val="single" w:color="000000" w:sz="0" w:space="0"/>
              <w:bottom w:val="single" w:color="000000" w:sz="0" w:space="0"/>
              <w:right w:val="single" w:color="000000" w:sz="0" w:space="0"/>
            </w:tcBorders>
          </w:tcPr>
          <w:p w14:paraId="20337778">
            <w:pPr>
              <w:spacing w:line="300" w:lineRule="auto"/>
              <w:jc w:val="left"/>
            </w:pPr>
            <w:r>
              <w:rPr>
                <w:rFonts w:ascii="宋体" w:hAnsi="宋体" w:eastAsia="宋体" w:cs="宋体"/>
                <w:sz w:val="28"/>
                <w:szCs w:val="28"/>
              </w:rPr>
              <w:t>供应商法人营业执照（副本）或事业单位法人证书（副本）或个体工商户营业执照或有效的自然人身份证明或社会团体法人登记证书（提供复印件）。</w:t>
            </w:r>
          </w:p>
        </w:tc>
      </w:tr>
      <w:tr w14:paraId="5A76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0DFA64B2">
            <w:pPr>
              <w:spacing w:line="300" w:lineRule="auto"/>
              <w:jc w:val="center"/>
            </w:pPr>
            <w:r>
              <w:rPr>
                <w:rFonts w:ascii="宋体" w:hAnsi="宋体" w:eastAsia="宋体" w:cs="宋体"/>
                <w:sz w:val="28"/>
                <w:szCs w:val="28"/>
              </w:rPr>
              <w:t>2</w:t>
            </w:r>
          </w:p>
        </w:tc>
        <w:tc>
          <w:tcPr>
            <w:tcW w:w="2400" w:type="dxa"/>
            <w:tcBorders>
              <w:top w:val="single" w:color="000000" w:sz="0" w:space="0"/>
              <w:left w:val="single" w:color="000000" w:sz="0" w:space="0"/>
              <w:bottom w:val="single" w:color="000000" w:sz="0" w:space="0"/>
              <w:right w:val="single" w:color="000000" w:sz="0" w:space="0"/>
            </w:tcBorders>
          </w:tcPr>
          <w:p w14:paraId="01B5B49A">
            <w:pPr>
              <w:spacing w:line="300" w:lineRule="auto"/>
              <w:jc w:val="left"/>
            </w:pPr>
            <w:r>
              <w:rPr>
                <w:rFonts w:ascii="宋体" w:hAnsi="宋体" w:eastAsia="宋体" w:cs="宋体"/>
                <w:sz w:val="28"/>
                <w:szCs w:val="28"/>
              </w:rPr>
              <w:t>良好的商业信誉和健全的财务会计制度</w:t>
            </w:r>
          </w:p>
        </w:tc>
        <w:tc>
          <w:tcPr>
            <w:tcW w:w="6160" w:type="dxa"/>
            <w:tcBorders>
              <w:top w:val="single" w:color="000000" w:sz="0" w:space="0"/>
              <w:left w:val="single" w:color="000000" w:sz="0" w:space="0"/>
              <w:bottom w:val="single" w:color="000000" w:sz="0" w:space="0"/>
              <w:right w:val="single" w:color="000000" w:sz="0" w:space="0"/>
            </w:tcBorders>
          </w:tcPr>
          <w:p w14:paraId="0B245F6B">
            <w:pPr>
              <w:spacing w:line="300" w:lineRule="auto"/>
              <w:jc w:val="left"/>
            </w:pPr>
            <w:r>
              <w:rPr>
                <w:rFonts w:ascii="宋体" w:hAnsi="宋体" w:eastAsia="宋体" w:cs="宋体"/>
                <w:sz w:val="28"/>
                <w:szCs w:val="28"/>
              </w:rPr>
              <w:t>提供《基本资格条件承诺函》（见格式文件）</w:t>
            </w:r>
          </w:p>
        </w:tc>
      </w:tr>
      <w:tr w14:paraId="1516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3CF9783F">
            <w:pPr>
              <w:spacing w:line="300" w:lineRule="auto"/>
              <w:jc w:val="center"/>
            </w:pPr>
            <w:r>
              <w:rPr>
                <w:rFonts w:ascii="宋体" w:hAnsi="宋体" w:eastAsia="宋体" w:cs="宋体"/>
                <w:sz w:val="28"/>
                <w:szCs w:val="28"/>
              </w:rPr>
              <w:t>3</w:t>
            </w:r>
          </w:p>
        </w:tc>
        <w:tc>
          <w:tcPr>
            <w:tcW w:w="2400" w:type="dxa"/>
            <w:tcBorders>
              <w:top w:val="single" w:color="000000" w:sz="0" w:space="0"/>
              <w:left w:val="single" w:color="000000" w:sz="0" w:space="0"/>
              <w:bottom w:val="single" w:color="000000" w:sz="0" w:space="0"/>
              <w:right w:val="single" w:color="000000" w:sz="0" w:space="0"/>
            </w:tcBorders>
          </w:tcPr>
          <w:p w14:paraId="1E852367">
            <w:pPr>
              <w:spacing w:line="300" w:lineRule="auto"/>
              <w:jc w:val="left"/>
            </w:pPr>
            <w:r>
              <w:rPr>
                <w:rFonts w:ascii="宋体" w:hAnsi="宋体" w:eastAsia="宋体" w:cs="宋体"/>
                <w:sz w:val="28"/>
                <w:szCs w:val="28"/>
              </w:rPr>
              <w:t>履行合同所必需的设备和专业技术能力</w:t>
            </w:r>
          </w:p>
        </w:tc>
        <w:tc>
          <w:tcPr>
            <w:tcW w:w="6160" w:type="dxa"/>
            <w:tcBorders>
              <w:top w:val="single" w:color="000000" w:sz="0" w:space="0"/>
              <w:left w:val="single" w:color="000000" w:sz="0" w:space="0"/>
              <w:bottom w:val="single" w:color="000000" w:sz="0" w:space="0"/>
              <w:right w:val="single" w:color="000000" w:sz="0" w:space="0"/>
            </w:tcBorders>
          </w:tcPr>
          <w:p w14:paraId="06B3607F">
            <w:pPr>
              <w:spacing w:line="300" w:lineRule="auto"/>
              <w:jc w:val="left"/>
            </w:pPr>
            <w:r>
              <w:rPr>
                <w:rFonts w:ascii="宋体" w:hAnsi="宋体" w:eastAsia="宋体" w:cs="宋体"/>
                <w:sz w:val="28"/>
                <w:szCs w:val="28"/>
              </w:rPr>
              <w:t>提供相关证明材料</w:t>
            </w:r>
          </w:p>
        </w:tc>
      </w:tr>
      <w:tr w14:paraId="7D1D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630B3C36">
            <w:pPr>
              <w:spacing w:line="300" w:lineRule="auto"/>
              <w:jc w:val="center"/>
            </w:pPr>
            <w:r>
              <w:rPr>
                <w:rFonts w:ascii="宋体" w:hAnsi="宋体" w:eastAsia="宋体" w:cs="宋体"/>
                <w:sz w:val="28"/>
                <w:szCs w:val="28"/>
              </w:rPr>
              <w:t>4</w:t>
            </w:r>
          </w:p>
        </w:tc>
        <w:tc>
          <w:tcPr>
            <w:tcW w:w="2400" w:type="dxa"/>
            <w:tcBorders>
              <w:top w:val="single" w:color="000000" w:sz="0" w:space="0"/>
              <w:left w:val="single" w:color="000000" w:sz="0" w:space="0"/>
              <w:bottom w:val="single" w:color="000000" w:sz="0" w:space="0"/>
              <w:right w:val="single" w:color="000000" w:sz="0" w:space="0"/>
            </w:tcBorders>
          </w:tcPr>
          <w:p w14:paraId="1ACF6E7B">
            <w:pPr>
              <w:spacing w:line="300" w:lineRule="auto"/>
              <w:jc w:val="left"/>
            </w:pPr>
            <w:r>
              <w:rPr>
                <w:rFonts w:ascii="宋体" w:hAnsi="宋体" w:eastAsia="宋体" w:cs="宋体"/>
                <w:sz w:val="28"/>
                <w:szCs w:val="28"/>
              </w:rPr>
              <w:t>依法缴纳税收和社会保障资金的良好记录</w:t>
            </w:r>
          </w:p>
        </w:tc>
        <w:tc>
          <w:tcPr>
            <w:tcW w:w="6160" w:type="dxa"/>
            <w:tcBorders>
              <w:top w:val="single" w:color="000000" w:sz="0" w:space="0"/>
              <w:left w:val="single" w:color="000000" w:sz="0" w:space="0"/>
              <w:bottom w:val="single" w:color="000000" w:sz="0" w:space="0"/>
              <w:right w:val="single" w:color="000000" w:sz="0" w:space="0"/>
            </w:tcBorders>
          </w:tcPr>
          <w:p w14:paraId="753918F1">
            <w:pPr>
              <w:spacing w:line="300" w:lineRule="auto"/>
              <w:jc w:val="left"/>
            </w:pPr>
            <w:r>
              <w:rPr>
                <w:rFonts w:ascii="宋体" w:hAnsi="宋体" w:eastAsia="宋体" w:cs="宋体"/>
                <w:sz w:val="28"/>
                <w:szCs w:val="28"/>
              </w:rPr>
              <w:t>提供相关证明材料</w:t>
            </w:r>
          </w:p>
        </w:tc>
      </w:tr>
      <w:tr w14:paraId="18BB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37C089EC">
            <w:pPr>
              <w:spacing w:line="300" w:lineRule="auto"/>
              <w:jc w:val="center"/>
            </w:pPr>
            <w:r>
              <w:rPr>
                <w:rFonts w:ascii="宋体" w:hAnsi="宋体" w:eastAsia="宋体" w:cs="宋体"/>
                <w:sz w:val="28"/>
                <w:szCs w:val="28"/>
              </w:rPr>
              <w:t>5</w:t>
            </w:r>
          </w:p>
        </w:tc>
        <w:tc>
          <w:tcPr>
            <w:tcW w:w="2400" w:type="dxa"/>
            <w:tcBorders>
              <w:top w:val="single" w:color="000000" w:sz="0" w:space="0"/>
              <w:left w:val="single" w:color="000000" w:sz="0" w:space="0"/>
              <w:bottom w:val="single" w:color="000000" w:sz="0" w:space="0"/>
              <w:right w:val="single" w:color="000000" w:sz="0" w:space="0"/>
            </w:tcBorders>
          </w:tcPr>
          <w:p w14:paraId="3255220D">
            <w:pPr>
              <w:spacing w:line="300" w:lineRule="auto"/>
              <w:jc w:val="left"/>
            </w:pPr>
            <w:r>
              <w:rPr>
                <w:rFonts w:ascii="宋体" w:hAnsi="宋体" w:eastAsia="宋体" w:cs="宋体"/>
                <w:sz w:val="28"/>
                <w:szCs w:val="28"/>
              </w:rPr>
              <w:t>参加政府采购活动前三年内无重大违法记录</w:t>
            </w:r>
          </w:p>
        </w:tc>
        <w:tc>
          <w:tcPr>
            <w:tcW w:w="6160" w:type="dxa"/>
            <w:tcBorders>
              <w:top w:val="single" w:color="000000" w:sz="0" w:space="0"/>
              <w:left w:val="single" w:color="000000" w:sz="0" w:space="0"/>
              <w:bottom w:val="single" w:color="000000" w:sz="0" w:space="0"/>
              <w:right w:val="single" w:color="000000" w:sz="0" w:space="0"/>
            </w:tcBorders>
          </w:tcPr>
          <w:p w14:paraId="6AB763DB">
            <w:pPr>
              <w:spacing w:line="300" w:lineRule="auto"/>
              <w:jc w:val="left"/>
            </w:pPr>
            <w:r>
              <w:rPr>
                <w:rFonts w:ascii="宋体" w:hAnsi="宋体" w:eastAsia="宋体" w:cs="宋体"/>
                <w:sz w:val="28"/>
                <w:szCs w:val="28"/>
              </w:rPr>
              <w:t>提供《基本资格条件承诺函》</w:t>
            </w:r>
          </w:p>
        </w:tc>
      </w:tr>
    </w:tbl>
    <w:p w14:paraId="2E7A13CA">
      <w:pPr>
        <w:spacing w:line="360" w:lineRule="auto"/>
      </w:pPr>
    </w:p>
    <w:p w14:paraId="6A9A2E64">
      <w:pPr>
        <w:spacing w:after="60" w:line="360" w:lineRule="auto"/>
        <w:jc w:val="both"/>
      </w:pPr>
      <w:r>
        <w:rPr>
          <w:rFonts w:ascii="宋体" w:hAnsi="宋体" w:eastAsia="宋体" w:cs="宋体"/>
          <w:sz w:val="32"/>
          <w:szCs w:val="32"/>
        </w:rPr>
        <w:t>1、资格性检查。依据法律法规和竞争性比选文件的规定，对响应文件中的资格证明等进行审查，以确定供应商是否具备竞争性比选资格。</w:t>
      </w:r>
    </w:p>
    <w:p w14:paraId="6CC73F6B">
      <w:pPr>
        <w:spacing w:after="60" w:line="360" w:lineRule="auto"/>
        <w:jc w:val="both"/>
      </w:pPr>
      <w:r>
        <w:rPr>
          <w:rFonts w:ascii="宋体" w:hAnsi="宋体" w:eastAsia="宋体" w:cs="宋体"/>
          <w:sz w:val="32"/>
          <w:szCs w:val="32"/>
        </w:rPr>
        <w:t>2、符合性检查。依据规定，从响应文件的有效性、完整性和对竞争性比选文件的响应程度进行审查，以确定是否对竞争性比选文件的实质性要求作出响应。</w:t>
      </w:r>
    </w:p>
    <w:p w14:paraId="41BF1FEC">
      <w:pPr>
        <w:spacing w:line="360" w:lineRule="auto"/>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9"/>
        <w:gridCol w:w="2227"/>
        <w:gridCol w:w="5700"/>
      </w:tblGrid>
      <w:tr w14:paraId="7CA1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000000" w:sz="0" w:space="0"/>
              <w:left w:val="single" w:color="000000" w:sz="0" w:space="0"/>
              <w:bottom w:val="single" w:color="000000" w:sz="0" w:space="0"/>
              <w:right w:val="single" w:color="000000" w:sz="0" w:space="0"/>
            </w:tcBorders>
            <w:shd w:val="clear" w:color="auto" w:fill="D5E8F0"/>
          </w:tcPr>
          <w:p w14:paraId="53CD94EE">
            <w:pPr>
              <w:spacing w:line="300" w:lineRule="auto"/>
              <w:jc w:val="center"/>
            </w:pPr>
            <w:r>
              <w:rPr>
                <w:rFonts w:ascii="宋体" w:hAnsi="宋体" w:eastAsia="宋体" w:cs="宋体"/>
                <w:sz w:val="28"/>
                <w:szCs w:val="28"/>
              </w:rPr>
              <w:t>序号</w:t>
            </w:r>
          </w:p>
        </w:tc>
        <w:tc>
          <w:tcPr>
            <w:tcW w:w="2400" w:type="dxa"/>
            <w:tcBorders>
              <w:top w:val="single" w:color="000000" w:sz="0" w:space="0"/>
              <w:left w:val="single" w:color="000000" w:sz="0" w:space="0"/>
              <w:bottom w:val="single" w:color="000000" w:sz="0" w:space="0"/>
              <w:right w:val="single" w:color="000000" w:sz="0" w:space="0"/>
            </w:tcBorders>
            <w:shd w:val="clear" w:color="auto" w:fill="D5E8F0"/>
          </w:tcPr>
          <w:p w14:paraId="6A18F44F">
            <w:pPr>
              <w:spacing w:line="300" w:lineRule="auto"/>
              <w:jc w:val="center"/>
            </w:pPr>
            <w:r>
              <w:rPr>
                <w:rFonts w:ascii="宋体" w:hAnsi="宋体" w:eastAsia="宋体" w:cs="宋体"/>
                <w:sz w:val="28"/>
                <w:szCs w:val="28"/>
              </w:rPr>
              <w:t>评审因素</w:t>
            </w:r>
          </w:p>
        </w:tc>
        <w:tc>
          <w:tcPr>
            <w:tcW w:w="6160" w:type="dxa"/>
            <w:tcBorders>
              <w:top w:val="single" w:color="000000" w:sz="0" w:space="0"/>
              <w:left w:val="single" w:color="000000" w:sz="0" w:space="0"/>
              <w:bottom w:val="single" w:color="000000" w:sz="0" w:space="0"/>
              <w:right w:val="single" w:color="000000" w:sz="0" w:space="0"/>
            </w:tcBorders>
            <w:shd w:val="clear" w:color="auto" w:fill="D5E8F0"/>
          </w:tcPr>
          <w:p w14:paraId="5BCECF34">
            <w:pPr>
              <w:spacing w:line="300" w:lineRule="auto"/>
              <w:jc w:val="center"/>
            </w:pPr>
            <w:r>
              <w:rPr>
                <w:rFonts w:ascii="宋体" w:hAnsi="宋体" w:eastAsia="宋体" w:cs="宋体"/>
                <w:sz w:val="28"/>
                <w:szCs w:val="28"/>
              </w:rPr>
              <w:t>评审标准</w:t>
            </w:r>
          </w:p>
        </w:tc>
      </w:tr>
      <w:tr w14:paraId="3684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3DC0441E">
            <w:pPr>
              <w:spacing w:line="300" w:lineRule="auto"/>
              <w:jc w:val="center"/>
            </w:pPr>
            <w:r>
              <w:rPr>
                <w:rFonts w:ascii="宋体" w:hAnsi="宋体" w:eastAsia="宋体" w:cs="宋体"/>
                <w:sz w:val="28"/>
                <w:szCs w:val="28"/>
              </w:rPr>
              <w:t>1</w:t>
            </w:r>
          </w:p>
        </w:tc>
        <w:tc>
          <w:tcPr>
            <w:tcW w:w="2400" w:type="dxa"/>
            <w:tcBorders>
              <w:top w:val="single" w:color="000000" w:sz="0" w:space="0"/>
              <w:left w:val="single" w:color="000000" w:sz="0" w:space="0"/>
              <w:bottom w:val="single" w:color="000000" w:sz="0" w:space="0"/>
              <w:right w:val="single" w:color="000000" w:sz="0" w:space="0"/>
            </w:tcBorders>
          </w:tcPr>
          <w:p w14:paraId="611D4334">
            <w:pPr>
              <w:spacing w:line="300" w:lineRule="auto"/>
              <w:jc w:val="left"/>
            </w:pPr>
            <w:r>
              <w:rPr>
                <w:rFonts w:ascii="宋体" w:hAnsi="宋体" w:eastAsia="宋体" w:cs="宋体"/>
                <w:sz w:val="28"/>
                <w:szCs w:val="28"/>
              </w:rPr>
              <w:t>响应文件签署</w:t>
            </w:r>
          </w:p>
        </w:tc>
        <w:tc>
          <w:tcPr>
            <w:tcW w:w="6160" w:type="dxa"/>
            <w:tcBorders>
              <w:top w:val="single" w:color="000000" w:sz="0" w:space="0"/>
              <w:left w:val="single" w:color="000000" w:sz="0" w:space="0"/>
              <w:bottom w:val="single" w:color="000000" w:sz="0" w:space="0"/>
              <w:right w:val="single" w:color="000000" w:sz="0" w:space="0"/>
            </w:tcBorders>
          </w:tcPr>
          <w:p w14:paraId="205E70E8">
            <w:pPr>
              <w:spacing w:line="300" w:lineRule="auto"/>
              <w:jc w:val="left"/>
            </w:pPr>
            <w:r>
              <w:rPr>
                <w:rFonts w:ascii="宋体" w:hAnsi="宋体" w:eastAsia="宋体" w:cs="宋体"/>
                <w:sz w:val="28"/>
                <w:szCs w:val="28"/>
              </w:rPr>
              <w:t>响应文件上法定代表人（或其授权代表）的签字齐全。</w:t>
            </w:r>
          </w:p>
        </w:tc>
      </w:tr>
      <w:tr w14:paraId="62FC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5EBC7959">
            <w:pPr>
              <w:spacing w:line="300" w:lineRule="auto"/>
              <w:jc w:val="center"/>
            </w:pPr>
            <w:r>
              <w:rPr>
                <w:rFonts w:ascii="宋体" w:hAnsi="宋体" w:eastAsia="宋体" w:cs="宋体"/>
                <w:sz w:val="28"/>
                <w:szCs w:val="28"/>
              </w:rPr>
              <w:t>2</w:t>
            </w:r>
          </w:p>
        </w:tc>
        <w:tc>
          <w:tcPr>
            <w:tcW w:w="2400" w:type="dxa"/>
            <w:tcBorders>
              <w:top w:val="single" w:color="000000" w:sz="0" w:space="0"/>
              <w:left w:val="single" w:color="000000" w:sz="0" w:space="0"/>
              <w:bottom w:val="single" w:color="000000" w:sz="0" w:space="0"/>
              <w:right w:val="single" w:color="000000" w:sz="0" w:space="0"/>
            </w:tcBorders>
          </w:tcPr>
          <w:p w14:paraId="0C4E57EC">
            <w:pPr>
              <w:spacing w:line="300" w:lineRule="auto"/>
              <w:jc w:val="left"/>
            </w:pPr>
            <w:r>
              <w:rPr>
                <w:rFonts w:ascii="宋体" w:hAnsi="宋体" w:eastAsia="宋体" w:cs="宋体"/>
                <w:sz w:val="28"/>
                <w:szCs w:val="28"/>
              </w:rPr>
              <w:t>法定代表人身份证明及授权委托书</w:t>
            </w:r>
          </w:p>
        </w:tc>
        <w:tc>
          <w:tcPr>
            <w:tcW w:w="6160" w:type="dxa"/>
            <w:tcBorders>
              <w:top w:val="single" w:color="000000" w:sz="0" w:space="0"/>
              <w:left w:val="single" w:color="000000" w:sz="0" w:space="0"/>
              <w:bottom w:val="single" w:color="000000" w:sz="0" w:space="0"/>
              <w:right w:val="single" w:color="000000" w:sz="0" w:space="0"/>
            </w:tcBorders>
          </w:tcPr>
          <w:p w14:paraId="2FF82EA7">
            <w:pPr>
              <w:spacing w:line="300" w:lineRule="auto"/>
              <w:jc w:val="left"/>
            </w:pPr>
            <w:r>
              <w:rPr>
                <w:rFonts w:ascii="宋体" w:hAnsi="宋体" w:eastAsia="宋体" w:cs="宋体"/>
                <w:sz w:val="28"/>
                <w:szCs w:val="28"/>
              </w:rPr>
              <w:t>法定代表人身份证明及授权委托书有效，符合竞争性比选文件规定的格式，签字或盖章齐全。</w:t>
            </w:r>
          </w:p>
        </w:tc>
      </w:tr>
      <w:tr w14:paraId="4B0B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77FAC055">
            <w:pPr>
              <w:spacing w:line="300" w:lineRule="auto"/>
              <w:jc w:val="center"/>
            </w:pPr>
            <w:r>
              <w:rPr>
                <w:rFonts w:ascii="宋体" w:hAnsi="宋体" w:eastAsia="宋体" w:cs="宋体"/>
                <w:sz w:val="28"/>
                <w:szCs w:val="28"/>
              </w:rPr>
              <w:t>3</w:t>
            </w:r>
          </w:p>
        </w:tc>
        <w:tc>
          <w:tcPr>
            <w:tcW w:w="2400" w:type="dxa"/>
            <w:tcBorders>
              <w:top w:val="single" w:color="000000" w:sz="0" w:space="0"/>
              <w:left w:val="single" w:color="000000" w:sz="0" w:space="0"/>
              <w:bottom w:val="single" w:color="000000" w:sz="0" w:space="0"/>
              <w:right w:val="single" w:color="000000" w:sz="0" w:space="0"/>
            </w:tcBorders>
          </w:tcPr>
          <w:p w14:paraId="1D232D52">
            <w:pPr>
              <w:spacing w:line="300" w:lineRule="auto"/>
              <w:jc w:val="left"/>
            </w:pPr>
            <w:r>
              <w:rPr>
                <w:rFonts w:ascii="宋体" w:hAnsi="宋体" w:eastAsia="宋体" w:cs="宋体"/>
                <w:sz w:val="28"/>
                <w:szCs w:val="28"/>
              </w:rPr>
              <w:t>响应方案</w:t>
            </w:r>
          </w:p>
        </w:tc>
        <w:tc>
          <w:tcPr>
            <w:tcW w:w="6160" w:type="dxa"/>
            <w:tcBorders>
              <w:top w:val="single" w:color="000000" w:sz="0" w:space="0"/>
              <w:left w:val="single" w:color="000000" w:sz="0" w:space="0"/>
              <w:bottom w:val="single" w:color="000000" w:sz="0" w:space="0"/>
              <w:right w:val="single" w:color="000000" w:sz="0" w:space="0"/>
            </w:tcBorders>
          </w:tcPr>
          <w:p w14:paraId="0E93415A">
            <w:pPr>
              <w:spacing w:line="300" w:lineRule="auto"/>
              <w:jc w:val="left"/>
            </w:pPr>
            <w:r>
              <w:rPr>
                <w:rFonts w:ascii="宋体" w:hAnsi="宋体" w:eastAsia="宋体" w:cs="宋体"/>
                <w:sz w:val="28"/>
                <w:szCs w:val="28"/>
              </w:rPr>
              <w:t>只能有一个响应方案。</w:t>
            </w:r>
          </w:p>
        </w:tc>
      </w:tr>
      <w:tr w14:paraId="4AA7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1C780B60">
            <w:pPr>
              <w:spacing w:line="300" w:lineRule="auto"/>
              <w:jc w:val="center"/>
            </w:pPr>
            <w:r>
              <w:rPr>
                <w:rFonts w:ascii="宋体" w:hAnsi="宋体" w:eastAsia="宋体" w:cs="宋体"/>
                <w:sz w:val="28"/>
                <w:szCs w:val="28"/>
              </w:rPr>
              <w:t>4</w:t>
            </w:r>
          </w:p>
        </w:tc>
        <w:tc>
          <w:tcPr>
            <w:tcW w:w="2400" w:type="dxa"/>
            <w:tcBorders>
              <w:top w:val="single" w:color="000000" w:sz="0" w:space="0"/>
              <w:left w:val="single" w:color="000000" w:sz="0" w:space="0"/>
              <w:bottom w:val="single" w:color="000000" w:sz="0" w:space="0"/>
              <w:right w:val="single" w:color="000000" w:sz="0" w:space="0"/>
            </w:tcBorders>
          </w:tcPr>
          <w:p w14:paraId="40763672">
            <w:pPr>
              <w:spacing w:line="300" w:lineRule="auto"/>
              <w:jc w:val="left"/>
            </w:pPr>
            <w:r>
              <w:rPr>
                <w:rFonts w:ascii="宋体" w:hAnsi="宋体" w:eastAsia="宋体" w:cs="宋体"/>
                <w:sz w:val="28"/>
                <w:szCs w:val="28"/>
              </w:rPr>
              <w:t>报价唯一</w:t>
            </w:r>
          </w:p>
        </w:tc>
        <w:tc>
          <w:tcPr>
            <w:tcW w:w="6160" w:type="dxa"/>
            <w:tcBorders>
              <w:top w:val="single" w:color="000000" w:sz="0" w:space="0"/>
              <w:left w:val="single" w:color="000000" w:sz="0" w:space="0"/>
              <w:bottom w:val="single" w:color="000000" w:sz="0" w:space="0"/>
              <w:right w:val="single" w:color="000000" w:sz="0" w:space="0"/>
            </w:tcBorders>
          </w:tcPr>
          <w:p w14:paraId="793084C3">
            <w:pPr>
              <w:spacing w:line="300" w:lineRule="auto"/>
              <w:jc w:val="left"/>
            </w:pPr>
            <w:r>
              <w:rPr>
                <w:rFonts w:ascii="宋体" w:hAnsi="宋体" w:eastAsia="宋体" w:cs="宋体"/>
                <w:sz w:val="28"/>
                <w:szCs w:val="28"/>
              </w:rPr>
              <w:t>只能在采购预算范围内报价，只能有一个有效报价，不得提交选择性报价。</w:t>
            </w:r>
          </w:p>
        </w:tc>
      </w:tr>
      <w:tr w14:paraId="3BE0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214D0BBC">
            <w:pPr>
              <w:spacing w:line="300" w:lineRule="auto"/>
              <w:jc w:val="center"/>
            </w:pPr>
            <w:r>
              <w:rPr>
                <w:rFonts w:ascii="宋体" w:hAnsi="宋体" w:eastAsia="宋体" w:cs="宋体"/>
                <w:sz w:val="28"/>
                <w:szCs w:val="28"/>
              </w:rPr>
              <w:t>5</w:t>
            </w:r>
          </w:p>
        </w:tc>
        <w:tc>
          <w:tcPr>
            <w:tcW w:w="2400" w:type="dxa"/>
            <w:tcBorders>
              <w:top w:val="single" w:color="000000" w:sz="0" w:space="0"/>
              <w:left w:val="single" w:color="000000" w:sz="0" w:space="0"/>
              <w:bottom w:val="single" w:color="000000" w:sz="0" w:space="0"/>
              <w:right w:val="single" w:color="000000" w:sz="0" w:space="0"/>
            </w:tcBorders>
          </w:tcPr>
          <w:p w14:paraId="0AE57FC5">
            <w:pPr>
              <w:spacing w:line="300" w:lineRule="auto"/>
              <w:jc w:val="left"/>
            </w:pPr>
            <w:r>
              <w:rPr>
                <w:rFonts w:ascii="宋体" w:hAnsi="宋体" w:eastAsia="宋体" w:cs="宋体"/>
                <w:sz w:val="28"/>
                <w:szCs w:val="28"/>
              </w:rPr>
              <w:t>响应文件份数</w:t>
            </w:r>
          </w:p>
        </w:tc>
        <w:tc>
          <w:tcPr>
            <w:tcW w:w="6160" w:type="dxa"/>
            <w:tcBorders>
              <w:top w:val="single" w:color="000000" w:sz="0" w:space="0"/>
              <w:left w:val="single" w:color="000000" w:sz="0" w:space="0"/>
              <w:bottom w:val="single" w:color="000000" w:sz="0" w:space="0"/>
              <w:right w:val="single" w:color="000000" w:sz="0" w:space="0"/>
            </w:tcBorders>
          </w:tcPr>
          <w:p w14:paraId="56B34412">
            <w:pPr>
              <w:spacing w:line="300" w:lineRule="auto"/>
              <w:jc w:val="left"/>
            </w:pPr>
            <w:r>
              <w:rPr>
                <w:rFonts w:ascii="宋体" w:hAnsi="宋体" w:eastAsia="宋体" w:cs="宋体"/>
                <w:sz w:val="28"/>
                <w:szCs w:val="28"/>
              </w:rPr>
              <w:t>响应文件份数符合竞争性比选文件要求。</w:t>
            </w:r>
          </w:p>
        </w:tc>
      </w:tr>
      <w:tr w14:paraId="590B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2E6AF5DD">
            <w:pPr>
              <w:spacing w:line="300" w:lineRule="auto"/>
              <w:jc w:val="center"/>
            </w:pPr>
            <w:r>
              <w:rPr>
                <w:rFonts w:ascii="宋体" w:hAnsi="宋体" w:eastAsia="宋体" w:cs="宋体"/>
                <w:sz w:val="28"/>
                <w:szCs w:val="28"/>
              </w:rPr>
              <w:t>6</w:t>
            </w:r>
          </w:p>
        </w:tc>
        <w:tc>
          <w:tcPr>
            <w:tcW w:w="2400" w:type="dxa"/>
            <w:tcBorders>
              <w:top w:val="single" w:color="000000" w:sz="0" w:space="0"/>
              <w:left w:val="single" w:color="000000" w:sz="0" w:space="0"/>
              <w:bottom w:val="single" w:color="000000" w:sz="0" w:space="0"/>
              <w:right w:val="single" w:color="000000" w:sz="0" w:space="0"/>
            </w:tcBorders>
          </w:tcPr>
          <w:p w14:paraId="5B352E6B">
            <w:pPr>
              <w:spacing w:line="300" w:lineRule="auto"/>
              <w:jc w:val="left"/>
            </w:pPr>
            <w:r>
              <w:rPr>
                <w:rFonts w:ascii="宋体" w:hAnsi="宋体" w:eastAsia="宋体" w:cs="宋体"/>
                <w:sz w:val="28"/>
                <w:szCs w:val="28"/>
              </w:rPr>
              <w:t>响应文件内容</w:t>
            </w:r>
          </w:p>
        </w:tc>
        <w:tc>
          <w:tcPr>
            <w:tcW w:w="6160" w:type="dxa"/>
            <w:tcBorders>
              <w:top w:val="single" w:color="000000" w:sz="0" w:space="0"/>
              <w:left w:val="single" w:color="000000" w:sz="0" w:space="0"/>
              <w:bottom w:val="single" w:color="000000" w:sz="0" w:space="0"/>
              <w:right w:val="single" w:color="000000" w:sz="0" w:space="0"/>
            </w:tcBorders>
          </w:tcPr>
          <w:p w14:paraId="59CE0809">
            <w:pPr>
              <w:spacing w:line="300" w:lineRule="auto"/>
              <w:jc w:val="left"/>
            </w:pPr>
            <w:r>
              <w:rPr>
                <w:rFonts w:ascii="宋体" w:hAnsi="宋体" w:eastAsia="宋体" w:cs="宋体"/>
                <w:sz w:val="28"/>
                <w:szCs w:val="28"/>
              </w:rPr>
              <w:t>响应文件内容齐全、无遗漏。</w:t>
            </w:r>
          </w:p>
        </w:tc>
      </w:tr>
      <w:tr w14:paraId="19CF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737466AB">
            <w:pPr>
              <w:spacing w:line="300" w:lineRule="auto"/>
              <w:jc w:val="center"/>
            </w:pPr>
            <w:r>
              <w:rPr>
                <w:rFonts w:ascii="宋体" w:hAnsi="宋体" w:eastAsia="宋体" w:cs="宋体"/>
                <w:sz w:val="28"/>
                <w:szCs w:val="28"/>
              </w:rPr>
              <w:t>7</w:t>
            </w:r>
          </w:p>
        </w:tc>
        <w:tc>
          <w:tcPr>
            <w:tcW w:w="2400" w:type="dxa"/>
            <w:tcBorders>
              <w:top w:val="single" w:color="000000" w:sz="0" w:space="0"/>
              <w:left w:val="single" w:color="000000" w:sz="0" w:space="0"/>
              <w:bottom w:val="single" w:color="000000" w:sz="0" w:space="0"/>
              <w:right w:val="single" w:color="000000" w:sz="0" w:space="0"/>
            </w:tcBorders>
          </w:tcPr>
          <w:p w14:paraId="252DBB56">
            <w:pPr>
              <w:spacing w:line="300" w:lineRule="auto"/>
              <w:jc w:val="left"/>
            </w:pPr>
            <w:r>
              <w:rPr>
                <w:rFonts w:ascii="宋体" w:hAnsi="宋体" w:eastAsia="宋体" w:cs="宋体"/>
                <w:sz w:val="28"/>
                <w:szCs w:val="28"/>
              </w:rPr>
              <w:t>竞争性比选有效期</w:t>
            </w:r>
          </w:p>
        </w:tc>
        <w:tc>
          <w:tcPr>
            <w:tcW w:w="6160" w:type="dxa"/>
            <w:tcBorders>
              <w:top w:val="single" w:color="000000" w:sz="0" w:space="0"/>
              <w:left w:val="single" w:color="000000" w:sz="0" w:space="0"/>
              <w:bottom w:val="single" w:color="000000" w:sz="0" w:space="0"/>
              <w:right w:val="single" w:color="000000" w:sz="0" w:space="0"/>
            </w:tcBorders>
          </w:tcPr>
          <w:p w14:paraId="031C1C37">
            <w:pPr>
              <w:spacing w:line="300" w:lineRule="auto"/>
              <w:jc w:val="left"/>
            </w:pPr>
            <w:r>
              <w:rPr>
                <w:rFonts w:ascii="宋体" w:hAnsi="宋体" w:eastAsia="宋体" w:cs="宋体"/>
                <w:sz w:val="28"/>
                <w:szCs w:val="28"/>
              </w:rPr>
              <w:t>满足竞争性比选文件规定有效期为提交响应文件截止时间起90天。</w:t>
            </w:r>
          </w:p>
        </w:tc>
      </w:tr>
    </w:tbl>
    <w:p w14:paraId="609D8654">
      <w:pPr>
        <w:spacing w:line="360" w:lineRule="auto"/>
      </w:pPr>
    </w:p>
    <w:p w14:paraId="50C49638">
      <w:pPr>
        <w:spacing w:after="60" w:line="360" w:lineRule="auto"/>
        <w:jc w:val="both"/>
      </w:pPr>
      <w:r>
        <w:rPr>
          <w:rFonts w:ascii="宋体" w:hAnsi="宋体" w:eastAsia="宋体" w:cs="宋体"/>
          <w:sz w:val="32"/>
          <w:szCs w:val="32"/>
        </w:rPr>
        <w:t>（三）澄清有关问题。评审小组可以对响应文件中含义不明确、同类问题表述不一致或者有明显文字和计算错误的内容要求供应商作出必要的澄清、说明或者更正。</w:t>
      </w:r>
    </w:p>
    <w:p w14:paraId="07E978C3">
      <w:pPr>
        <w:spacing w:after="60" w:line="360" w:lineRule="auto"/>
        <w:jc w:val="both"/>
      </w:pPr>
      <w:r>
        <w:rPr>
          <w:rFonts w:ascii="宋体" w:hAnsi="宋体" w:eastAsia="宋体" w:cs="宋体"/>
          <w:sz w:val="32"/>
          <w:szCs w:val="32"/>
        </w:rPr>
        <w:t>（四）本项目采用最低价评标法进行评标。响应文件满足采购文件全部实质性要求且投标报价最低的响应人为中标候选人的评标方法。</w:t>
      </w:r>
    </w:p>
    <w:p w14:paraId="0FCE36D8">
      <w:pPr>
        <w:spacing w:after="60" w:line="360" w:lineRule="auto"/>
        <w:jc w:val="both"/>
      </w:pPr>
      <w:r>
        <w:rPr>
          <w:rFonts w:ascii="宋体" w:hAnsi="宋体" w:eastAsia="宋体" w:cs="宋体"/>
          <w:sz w:val="32"/>
          <w:szCs w:val="32"/>
        </w:rPr>
        <w:t>（五）推荐中标候选人名单。响应文件满足采购文件全部实质性要求，对报价进行评审，按照由低到高的顺序排名前三的响应人为中标候选人。</w:t>
      </w:r>
    </w:p>
    <w:p w14:paraId="13C143DE">
      <w:pPr>
        <w:spacing w:line="360" w:lineRule="auto"/>
      </w:pPr>
    </w:p>
    <w:p w14:paraId="5C8E23C6">
      <w:pPr>
        <w:pStyle w:val="3"/>
        <w:spacing w:before="160" w:after="80" w:line="360" w:lineRule="auto"/>
      </w:pPr>
      <w:r>
        <w:rPr>
          <w:rFonts w:ascii="黑体" w:hAnsi="黑体" w:eastAsia="黑体" w:cs="黑体"/>
          <w:b/>
          <w:bCs/>
          <w:sz w:val="32"/>
          <w:szCs w:val="32"/>
        </w:rPr>
        <w:t>二、异常低价问题有关事项的说明</w:t>
      </w:r>
    </w:p>
    <w:p w14:paraId="13B78F0D">
      <w:pPr>
        <w:spacing w:after="60" w:line="360" w:lineRule="auto"/>
        <w:jc w:val="both"/>
      </w:pPr>
      <w:r>
        <w:rPr>
          <w:rFonts w:ascii="宋体" w:hAnsi="宋体" w:eastAsia="宋体" w:cs="宋体"/>
          <w:sz w:val="32"/>
          <w:szCs w:val="32"/>
        </w:rPr>
        <w:t>（一）参照《关于推动解决政府采购异常低价问题的通知》财库〔2026〕2号文件规定，采购评审中出现下列情形之一的，评审委员会应当启动异常低价审查程序：</w:t>
      </w:r>
    </w:p>
    <w:p w14:paraId="740D1406">
      <w:pPr>
        <w:spacing w:after="60" w:line="360" w:lineRule="auto"/>
        <w:jc w:val="both"/>
      </w:pPr>
      <w:r>
        <w:rPr>
          <w:rFonts w:ascii="宋体" w:hAnsi="宋体" w:eastAsia="宋体" w:cs="宋体"/>
          <w:sz w:val="32"/>
          <w:szCs w:val="32"/>
        </w:rPr>
        <w:t>1.响应报价低于全部通过符合性审查供应商响应报价平均值50%的；</w:t>
      </w:r>
    </w:p>
    <w:p w14:paraId="216BE45E">
      <w:pPr>
        <w:spacing w:after="60" w:line="360" w:lineRule="auto"/>
        <w:jc w:val="both"/>
      </w:pPr>
      <w:r>
        <w:rPr>
          <w:rFonts w:ascii="宋体" w:hAnsi="宋体" w:eastAsia="宋体" w:cs="宋体"/>
          <w:sz w:val="32"/>
          <w:szCs w:val="32"/>
        </w:rPr>
        <w:t>2.响应报价低于通过符合性审查的次低报价供应商响应报价50%的；</w:t>
      </w:r>
    </w:p>
    <w:p w14:paraId="2A65D5C8">
      <w:pPr>
        <w:spacing w:after="60" w:line="360" w:lineRule="auto"/>
        <w:jc w:val="both"/>
      </w:pPr>
      <w:r>
        <w:rPr>
          <w:rFonts w:ascii="宋体" w:hAnsi="宋体" w:eastAsia="宋体" w:cs="宋体"/>
          <w:sz w:val="32"/>
          <w:szCs w:val="32"/>
        </w:rPr>
        <w:t>3.响应报价低于采购项目最高限价45%的；</w:t>
      </w:r>
    </w:p>
    <w:p w14:paraId="2E316ABA">
      <w:pPr>
        <w:spacing w:after="60" w:line="360" w:lineRule="auto"/>
        <w:jc w:val="both"/>
      </w:pPr>
      <w:r>
        <w:rPr>
          <w:rFonts w:ascii="宋体" w:hAnsi="宋体" w:eastAsia="宋体" w:cs="宋体"/>
          <w:sz w:val="32"/>
          <w:szCs w:val="32"/>
        </w:rPr>
        <w:t>4.评审委员会基于专业判断，认为供应商报价过低，有可能影响产品质量或者不能诚信履约的其他情形。</w:t>
      </w:r>
    </w:p>
    <w:p w14:paraId="0C49396A">
      <w:pPr>
        <w:spacing w:after="60" w:line="360" w:lineRule="auto"/>
        <w:jc w:val="both"/>
      </w:pPr>
      <w:r>
        <w:rPr>
          <w:rFonts w:ascii="宋体" w:hAnsi="宋体" w:eastAsia="宋体" w:cs="宋体"/>
          <w:sz w:val="32"/>
          <w:szCs w:val="32"/>
        </w:rPr>
        <w:t>（二）评审小组启动异常低价响应审查后，应当要求相关供应商通过邮箱或在评审现场合理的时间内对响应价格作出解释，提供项目具体成本测算等与报价合理性相关的书面说明及必要的证明材料。</w:t>
      </w:r>
    </w:p>
    <w:p w14:paraId="171FE405">
      <w:pPr>
        <w:spacing w:line="360" w:lineRule="auto"/>
      </w:pPr>
    </w:p>
    <w:p w14:paraId="3A3D6155">
      <w:pPr>
        <w:pStyle w:val="3"/>
        <w:spacing w:before="160" w:after="80" w:line="360" w:lineRule="auto"/>
      </w:pPr>
      <w:r>
        <w:rPr>
          <w:rFonts w:ascii="黑体" w:hAnsi="黑体" w:eastAsia="黑体" w:cs="黑体"/>
          <w:b/>
          <w:bCs/>
          <w:sz w:val="32"/>
          <w:szCs w:val="32"/>
        </w:rPr>
        <w:t>三、响应无效</w:t>
      </w:r>
    </w:p>
    <w:p w14:paraId="3E648BCB">
      <w:pPr>
        <w:spacing w:after="60" w:line="360" w:lineRule="auto"/>
        <w:jc w:val="both"/>
      </w:pPr>
      <w:r>
        <w:rPr>
          <w:rFonts w:ascii="宋体" w:hAnsi="宋体" w:eastAsia="宋体" w:cs="宋体"/>
          <w:sz w:val="32"/>
          <w:szCs w:val="32"/>
        </w:rPr>
        <w:t>供应商发生以下条款情况之一者，视为响应无效，其响应文件将被拒绝：</w:t>
      </w:r>
    </w:p>
    <w:p w14:paraId="2E45FBE1">
      <w:pPr>
        <w:spacing w:after="60" w:line="360" w:lineRule="auto"/>
        <w:jc w:val="both"/>
      </w:pPr>
      <w:r>
        <w:rPr>
          <w:rFonts w:ascii="宋体" w:hAnsi="宋体" w:eastAsia="宋体" w:cs="宋体"/>
          <w:sz w:val="32"/>
          <w:szCs w:val="32"/>
        </w:rPr>
        <w:t>（一）未按照竞争性比选文件的规定提交投标保证金的；</w:t>
      </w:r>
    </w:p>
    <w:p w14:paraId="52A420A1">
      <w:pPr>
        <w:spacing w:after="60" w:line="360" w:lineRule="auto"/>
        <w:jc w:val="both"/>
      </w:pPr>
      <w:r>
        <w:rPr>
          <w:rFonts w:ascii="宋体" w:hAnsi="宋体" w:eastAsia="宋体" w:cs="宋体"/>
          <w:sz w:val="32"/>
          <w:szCs w:val="32"/>
        </w:rPr>
        <w:t>（二）比选申请文件未按竞争性比选文件要求签署、盖章的；</w:t>
      </w:r>
    </w:p>
    <w:p w14:paraId="6D12C4F7">
      <w:pPr>
        <w:spacing w:after="60" w:line="360" w:lineRule="auto"/>
        <w:jc w:val="both"/>
      </w:pPr>
      <w:r>
        <w:rPr>
          <w:rFonts w:ascii="宋体" w:hAnsi="宋体" w:eastAsia="宋体" w:cs="宋体"/>
          <w:sz w:val="32"/>
          <w:szCs w:val="32"/>
        </w:rPr>
        <w:t>（三）不具备竞争性比选文件中规定的资格或符合要求的；</w:t>
      </w:r>
    </w:p>
    <w:p w14:paraId="670EB90A">
      <w:pPr>
        <w:spacing w:after="60" w:line="360" w:lineRule="auto"/>
        <w:jc w:val="both"/>
      </w:pPr>
      <w:r>
        <w:rPr>
          <w:rFonts w:ascii="宋体" w:hAnsi="宋体" w:eastAsia="宋体" w:cs="宋体"/>
          <w:sz w:val="32"/>
          <w:szCs w:val="32"/>
        </w:rPr>
        <w:t>（四）报价超过竞争性比选文件中规定的预算金额或者最高单价和总限价的；</w:t>
      </w:r>
    </w:p>
    <w:p w14:paraId="01DE3487">
      <w:pPr>
        <w:spacing w:after="60" w:line="360" w:lineRule="auto"/>
        <w:jc w:val="both"/>
      </w:pPr>
      <w:r>
        <w:rPr>
          <w:rFonts w:ascii="宋体" w:hAnsi="宋体" w:eastAsia="宋体" w:cs="宋体"/>
          <w:sz w:val="32"/>
          <w:szCs w:val="32"/>
        </w:rPr>
        <w:t>（五）比选申请文件含有比选人不能接受的附加条件的；</w:t>
      </w:r>
    </w:p>
    <w:p w14:paraId="1A929BF1">
      <w:pPr>
        <w:spacing w:after="60" w:line="360" w:lineRule="auto"/>
        <w:jc w:val="both"/>
      </w:pPr>
      <w:r>
        <w:rPr>
          <w:rFonts w:ascii="宋体" w:hAnsi="宋体" w:eastAsia="宋体" w:cs="宋体"/>
          <w:sz w:val="32"/>
          <w:szCs w:val="32"/>
        </w:rPr>
        <w:t>（六）比选申请人串通投标的；</w:t>
      </w:r>
    </w:p>
    <w:p w14:paraId="599EA5A3">
      <w:pPr>
        <w:spacing w:after="60" w:line="360" w:lineRule="auto"/>
        <w:jc w:val="both"/>
      </w:pPr>
      <w:r>
        <w:rPr>
          <w:rFonts w:ascii="宋体" w:hAnsi="宋体" w:eastAsia="宋体" w:cs="宋体"/>
          <w:sz w:val="32"/>
          <w:szCs w:val="32"/>
        </w:rPr>
        <w:t>（七）法律、法规和竞争性比选文件规定的其他无效情形；</w:t>
      </w:r>
    </w:p>
    <w:p w14:paraId="59BB4970">
      <w:pPr>
        <w:spacing w:after="60" w:line="360" w:lineRule="auto"/>
        <w:jc w:val="both"/>
      </w:pPr>
      <w:r>
        <w:rPr>
          <w:rFonts w:ascii="宋体" w:hAnsi="宋体" w:eastAsia="宋体" w:cs="宋体"/>
          <w:sz w:val="32"/>
          <w:szCs w:val="32"/>
        </w:rPr>
        <w:t>（八）比选申请人进行合同分包、转包或挂靠；</w:t>
      </w:r>
    </w:p>
    <w:p w14:paraId="41A243A8">
      <w:pPr>
        <w:spacing w:after="60" w:line="360" w:lineRule="auto"/>
        <w:jc w:val="both"/>
      </w:pPr>
      <w:r>
        <w:rPr>
          <w:rFonts w:ascii="宋体" w:hAnsi="宋体" w:eastAsia="宋体" w:cs="宋体"/>
          <w:sz w:val="32"/>
          <w:szCs w:val="32"/>
        </w:rPr>
        <w:t>（九）比选申请人以联合体形式参与比选的；</w:t>
      </w:r>
    </w:p>
    <w:p w14:paraId="75F21C6D">
      <w:pPr>
        <w:spacing w:after="60" w:line="360" w:lineRule="auto"/>
        <w:jc w:val="both"/>
      </w:pPr>
      <w:r>
        <w:rPr>
          <w:rFonts w:ascii="宋体" w:hAnsi="宋体" w:eastAsia="宋体" w:cs="宋体"/>
          <w:sz w:val="32"/>
          <w:szCs w:val="32"/>
        </w:rPr>
        <w:t>（十）比选申请人被列入失信被执行人、重大税收违法案件当事人名单、政府采购严重违法失信行为记录名单；</w:t>
      </w:r>
    </w:p>
    <w:p w14:paraId="3EAC100E">
      <w:pPr>
        <w:spacing w:after="60" w:line="360" w:lineRule="auto"/>
        <w:jc w:val="both"/>
      </w:pPr>
      <w:r>
        <w:rPr>
          <w:rFonts w:ascii="宋体" w:hAnsi="宋体" w:eastAsia="宋体" w:cs="宋体"/>
          <w:sz w:val="32"/>
          <w:szCs w:val="32"/>
        </w:rPr>
        <w:t>（十一）报价经评审认定为异常低价的。</w:t>
      </w:r>
    </w:p>
    <w:p w14:paraId="596624EF">
      <w:pPr>
        <w:spacing w:line="360" w:lineRule="auto"/>
      </w:pPr>
    </w:p>
    <w:p w14:paraId="51474577">
      <w:pPr>
        <w:pStyle w:val="3"/>
        <w:spacing w:before="160" w:after="80" w:line="360" w:lineRule="auto"/>
      </w:pPr>
      <w:r>
        <w:rPr>
          <w:rFonts w:ascii="黑体" w:hAnsi="黑体" w:eastAsia="黑体" w:cs="黑体"/>
          <w:b/>
          <w:bCs/>
          <w:sz w:val="32"/>
          <w:szCs w:val="32"/>
        </w:rPr>
        <w:t>四、采购终止</w:t>
      </w:r>
    </w:p>
    <w:p w14:paraId="66F2A967">
      <w:pPr>
        <w:spacing w:after="60" w:line="360" w:lineRule="auto"/>
        <w:jc w:val="both"/>
      </w:pPr>
      <w:r>
        <w:rPr>
          <w:rFonts w:ascii="宋体" w:hAnsi="宋体" w:eastAsia="宋体" w:cs="宋体"/>
          <w:sz w:val="32"/>
          <w:szCs w:val="32"/>
        </w:rPr>
        <w:t>出现下列情形之一的，采购人应当终止竞争性比选活动，发布项目终止公告并说明原因，重新开展采购活动：</w:t>
      </w:r>
    </w:p>
    <w:p w14:paraId="56C8FFC1">
      <w:pPr>
        <w:spacing w:after="60" w:line="360" w:lineRule="auto"/>
        <w:jc w:val="both"/>
      </w:pPr>
      <w:r>
        <w:rPr>
          <w:rFonts w:ascii="宋体" w:hAnsi="宋体" w:eastAsia="宋体" w:cs="宋体"/>
          <w:sz w:val="32"/>
          <w:szCs w:val="32"/>
        </w:rPr>
        <w:t>（一）因情况变化，不再符合规定的竞争性比选采购人式适用情形的；</w:t>
      </w:r>
    </w:p>
    <w:p w14:paraId="1F5E574A">
      <w:pPr>
        <w:spacing w:after="60" w:line="360" w:lineRule="auto"/>
        <w:jc w:val="both"/>
      </w:pPr>
      <w:r>
        <w:rPr>
          <w:rFonts w:ascii="宋体" w:hAnsi="宋体" w:eastAsia="宋体" w:cs="宋体"/>
          <w:sz w:val="32"/>
          <w:szCs w:val="32"/>
        </w:rPr>
        <w:t>（二）出现影响采购公正的违法、违规行为的；</w:t>
      </w:r>
    </w:p>
    <w:p w14:paraId="152DFF25">
      <w:pPr>
        <w:spacing w:after="60" w:line="360" w:lineRule="auto"/>
        <w:jc w:val="both"/>
      </w:pPr>
      <w:r>
        <w:rPr>
          <w:rFonts w:ascii="宋体" w:hAnsi="宋体" w:eastAsia="宋体" w:cs="宋体"/>
          <w:sz w:val="32"/>
          <w:szCs w:val="32"/>
        </w:rPr>
        <w:t>（三）满足本项目采购实质性要求或未超过采购预算的供应商不足3家的。</w:t>
      </w:r>
    </w:p>
    <w:p w14:paraId="17124A7F">
      <w:r>
        <w:br w:type="page"/>
      </w:r>
    </w:p>
    <w:p w14:paraId="3835BADC">
      <w:pPr>
        <w:pStyle w:val="2"/>
        <w:spacing w:before="240" w:after="120" w:line="400" w:lineRule="auto"/>
        <w:jc w:val="center"/>
      </w:pPr>
      <w:bookmarkStart w:id="4" w:name="_Toc11303"/>
      <w:r>
        <w:rPr>
          <w:rFonts w:ascii="黑体" w:hAnsi="黑体" w:eastAsia="黑体" w:cs="黑体"/>
          <w:b/>
          <w:bCs/>
          <w:sz w:val="44"/>
          <w:szCs w:val="44"/>
        </w:rPr>
        <w:t>第五篇  供应商须知</w:t>
      </w:r>
      <w:bookmarkEnd w:id="4"/>
    </w:p>
    <w:p w14:paraId="6E6581D7">
      <w:pPr>
        <w:pStyle w:val="3"/>
        <w:spacing w:before="160" w:after="80" w:line="360" w:lineRule="auto"/>
      </w:pPr>
      <w:r>
        <w:rPr>
          <w:rFonts w:ascii="黑体" w:hAnsi="黑体" w:eastAsia="黑体" w:cs="黑体"/>
          <w:b/>
          <w:bCs/>
          <w:sz w:val="32"/>
          <w:szCs w:val="32"/>
        </w:rPr>
        <w:t>一、竞争性比选费用</w:t>
      </w:r>
    </w:p>
    <w:p w14:paraId="7D9166D9">
      <w:pPr>
        <w:spacing w:after="60" w:line="360" w:lineRule="auto"/>
        <w:jc w:val="both"/>
      </w:pPr>
      <w:r>
        <w:rPr>
          <w:rFonts w:ascii="宋体" w:hAnsi="宋体" w:eastAsia="宋体" w:cs="宋体"/>
          <w:sz w:val="32"/>
          <w:szCs w:val="32"/>
        </w:rPr>
        <w:t>参与竞争性比选的供应商应承担其编制响应文件与递交响应文件所涉及的一切费用，不论竞争性比选结果如何，采购人在任何情况下无义务也无责任承担这些费用。</w:t>
      </w:r>
    </w:p>
    <w:p w14:paraId="44C25CFE">
      <w:pPr>
        <w:pStyle w:val="3"/>
        <w:spacing w:before="160" w:after="80" w:line="360" w:lineRule="auto"/>
      </w:pPr>
      <w:r>
        <w:rPr>
          <w:rFonts w:ascii="黑体" w:hAnsi="黑体" w:eastAsia="黑体" w:cs="黑体"/>
          <w:b/>
          <w:bCs/>
          <w:sz w:val="32"/>
          <w:szCs w:val="32"/>
        </w:rPr>
        <w:t>二、竞争性比选文件</w:t>
      </w:r>
    </w:p>
    <w:p w14:paraId="71BF9005">
      <w:pPr>
        <w:spacing w:after="60" w:line="360" w:lineRule="auto"/>
        <w:jc w:val="both"/>
      </w:pPr>
      <w:r>
        <w:rPr>
          <w:rFonts w:ascii="宋体" w:hAnsi="宋体" w:eastAsia="宋体" w:cs="宋体"/>
          <w:sz w:val="32"/>
          <w:szCs w:val="32"/>
        </w:rPr>
        <w:t>（一）竞争性比选文件由采购邀请书、项目服务要求、项目商务要求、竞争性比选程序及方法、评审标准、响应无效和采购终止、供应商须知、合同主要条款和格式合同、响应文件编制要求七部分组成。</w:t>
      </w:r>
    </w:p>
    <w:p w14:paraId="2A06387C">
      <w:pPr>
        <w:spacing w:after="60" w:line="360" w:lineRule="auto"/>
        <w:jc w:val="both"/>
      </w:pPr>
      <w:r>
        <w:rPr>
          <w:rFonts w:ascii="宋体" w:hAnsi="宋体" w:eastAsia="宋体" w:cs="宋体"/>
          <w:sz w:val="32"/>
          <w:szCs w:val="32"/>
        </w:rPr>
        <w:t>（二）采购人所作的一切有效的书面通知、修改及补充，都是竞争性比选文件不可分割的部分。</w:t>
      </w:r>
    </w:p>
    <w:p w14:paraId="6BBAE4BD">
      <w:pPr>
        <w:spacing w:after="60" w:line="360" w:lineRule="auto"/>
        <w:jc w:val="both"/>
      </w:pPr>
      <w:r>
        <w:rPr>
          <w:rFonts w:ascii="宋体" w:hAnsi="宋体" w:eastAsia="宋体" w:cs="宋体"/>
          <w:sz w:val="32"/>
          <w:szCs w:val="32"/>
        </w:rPr>
        <w:t>（三）供应商如对竞争性比选文件有疑问，必须以书面形式在递交文件截止时间前向采购人要求澄清。</w:t>
      </w:r>
    </w:p>
    <w:p w14:paraId="4C8A5E60">
      <w:pPr>
        <w:pStyle w:val="3"/>
        <w:spacing w:before="160" w:after="80" w:line="360" w:lineRule="auto"/>
      </w:pPr>
      <w:r>
        <w:rPr>
          <w:rFonts w:ascii="黑体" w:hAnsi="黑体" w:eastAsia="黑体" w:cs="黑体"/>
          <w:b/>
          <w:bCs/>
          <w:sz w:val="32"/>
          <w:szCs w:val="32"/>
        </w:rPr>
        <w:t>三、竞争性比选要求</w:t>
      </w:r>
    </w:p>
    <w:p w14:paraId="3712407E">
      <w:pPr>
        <w:spacing w:after="60" w:line="360" w:lineRule="auto"/>
        <w:jc w:val="both"/>
      </w:pPr>
      <w:r>
        <w:rPr>
          <w:rFonts w:ascii="宋体" w:hAnsi="宋体" w:eastAsia="宋体" w:cs="宋体"/>
          <w:sz w:val="32"/>
          <w:szCs w:val="32"/>
        </w:rPr>
        <w:t>（一）响应文件：供应商应当按照竞争性比选文件的要求编制响应文件，并对竞争性比选文件提出的要求和条件作出实质性响应。</w:t>
      </w:r>
    </w:p>
    <w:p w14:paraId="072B8496">
      <w:pPr>
        <w:spacing w:after="60" w:line="360" w:lineRule="auto"/>
        <w:jc w:val="both"/>
      </w:pPr>
      <w:r>
        <w:rPr>
          <w:rFonts w:ascii="宋体" w:hAnsi="宋体" w:eastAsia="宋体" w:cs="宋体"/>
          <w:sz w:val="32"/>
          <w:szCs w:val="32"/>
        </w:rPr>
        <w:t>（二）联合体：本项目不接受联合体参与竞采。</w:t>
      </w:r>
    </w:p>
    <w:p w14:paraId="1B87D46B">
      <w:pPr>
        <w:spacing w:after="60" w:line="360" w:lineRule="auto"/>
        <w:jc w:val="both"/>
      </w:pPr>
      <w:r>
        <w:rPr>
          <w:rFonts w:ascii="宋体" w:hAnsi="宋体" w:eastAsia="宋体" w:cs="宋体"/>
          <w:sz w:val="32"/>
          <w:szCs w:val="32"/>
        </w:rPr>
        <w:t>（三）竞争性比选有效期：响应文件及有关承诺文件有效期为提交响应文件截止时间起90天。</w:t>
      </w:r>
    </w:p>
    <w:p w14:paraId="48039D67">
      <w:pPr>
        <w:spacing w:after="60" w:line="360" w:lineRule="auto"/>
        <w:jc w:val="both"/>
      </w:pPr>
      <w:r>
        <w:rPr>
          <w:rFonts w:ascii="宋体" w:hAnsi="宋体" w:eastAsia="宋体" w:cs="宋体"/>
          <w:sz w:val="32"/>
          <w:szCs w:val="32"/>
        </w:rPr>
        <w:t>（四）修正错误：大写金额和小写金额不一致的，以大写金额为准；总价金额与按单价汇总金额不一致的，以单价金额计算结果为准。</w:t>
      </w:r>
    </w:p>
    <w:p w14:paraId="34C82BCB">
      <w:pPr>
        <w:pStyle w:val="3"/>
        <w:spacing w:before="160" w:after="80" w:line="360" w:lineRule="auto"/>
      </w:pPr>
      <w:r>
        <w:rPr>
          <w:rFonts w:ascii="黑体" w:hAnsi="黑体" w:eastAsia="黑体" w:cs="黑体"/>
          <w:b/>
          <w:bCs/>
          <w:sz w:val="32"/>
          <w:szCs w:val="32"/>
        </w:rPr>
        <w:t>四、成交供应商的确认和变更</w:t>
      </w:r>
    </w:p>
    <w:p w14:paraId="038C10F6">
      <w:pPr>
        <w:spacing w:after="60" w:line="360" w:lineRule="auto"/>
        <w:jc w:val="both"/>
      </w:pPr>
      <w:r>
        <w:rPr>
          <w:rFonts w:ascii="宋体" w:hAnsi="宋体" w:eastAsia="宋体" w:cs="宋体"/>
          <w:sz w:val="32"/>
          <w:szCs w:val="32"/>
        </w:rPr>
        <w:t>（一）采购人应当评标结束后从合格成交候选供应商中，按照排序由高到低的原则确定成交供应商。</w:t>
      </w:r>
    </w:p>
    <w:p w14:paraId="71B273DF">
      <w:pPr>
        <w:spacing w:after="60" w:line="360" w:lineRule="auto"/>
        <w:jc w:val="both"/>
      </w:pPr>
      <w:r>
        <w:rPr>
          <w:rFonts w:ascii="宋体" w:hAnsi="宋体" w:eastAsia="宋体" w:cs="宋体"/>
          <w:sz w:val="32"/>
          <w:szCs w:val="32"/>
        </w:rPr>
        <w:t>（二）成交供应商拒绝与采购人签订合同的，采购人可以按照成交候选供应商顺序，确定排名下一位的候选人为成交供应商，也可以重新开展采购活动。</w:t>
      </w:r>
    </w:p>
    <w:p w14:paraId="64D4E232">
      <w:pPr>
        <w:pStyle w:val="3"/>
        <w:spacing w:before="160" w:after="80" w:line="360" w:lineRule="auto"/>
      </w:pPr>
      <w:r>
        <w:rPr>
          <w:rFonts w:ascii="黑体" w:hAnsi="黑体" w:eastAsia="黑体" w:cs="黑体"/>
          <w:b/>
          <w:bCs/>
          <w:sz w:val="32"/>
          <w:szCs w:val="32"/>
        </w:rPr>
        <w:t>五、成交通知</w:t>
      </w:r>
    </w:p>
    <w:p w14:paraId="63408577">
      <w:pPr>
        <w:spacing w:after="60" w:line="360" w:lineRule="auto"/>
        <w:jc w:val="both"/>
      </w:pPr>
      <w:r>
        <w:rPr>
          <w:rFonts w:ascii="宋体" w:hAnsi="宋体" w:eastAsia="宋体" w:cs="宋体"/>
          <w:sz w:val="32"/>
          <w:szCs w:val="32"/>
        </w:rPr>
        <w:t>（一）成交供应商确定后，采购人将在重庆市两江新区人民医院官方网站（https://www.ljxqrmyy.cn/index.shtml）上发布成交结果公告。</w:t>
      </w:r>
    </w:p>
    <w:p w14:paraId="5CE13313">
      <w:pPr>
        <w:pStyle w:val="3"/>
        <w:spacing w:before="160" w:after="80" w:line="360" w:lineRule="auto"/>
      </w:pPr>
      <w:r>
        <w:rPr>
          <w:rFonts w:ascii="黑体" w:hAnsi="黑体" w:eastAsia="黑体" w:cs="黑体"/>
          <w:b/>
          <w:bCs/>
          <w:sz w:val="32"/>
          <w:szCs w:val="32"/>
        </w:rPr>
        <w:t>六、关于质疑和投诉</w:t>
      </w:r>
    </w:p>
    <w:p w14:paraId="4D15EE74">
      <w:pPr>
        <w:spacing w:after="60" w:line="360" w:lineRule="auto"/>
        <w:jc w:val="both"/>
      </w:pPr>
      <w:r>
        <w:rPr>
          <w:rFonts w:ascii="宋体" w:hAnsi="宋体" w:eastAsia="宋体" w:cs="宋体"/>
          <w:sz w:val="32"/>
          <w:szCs w:val="32"/>
        </w:rPr>
        <w:t>（一）供应商认为竞争性比选文件、采购过程和成交结果使自己的权益受到伤害的，可向采购人以书面形式提出质疑。</w:t>
      </w:r>
    </w:p>
    <w:p w14:paraId="11A402FE">
      <w:pPr>
        <w:spacing w:after="60" w:line="360" w:lineRule="auto"/>
        <w:jc w:val="both"/>
      </w:pPr>
      <w:r>
        <w:rPr>
          <w:rFonts w:ascii="宋体" w:hAnsi="宋体" w:eastAsia="宋体" w:cs="宋体"/>
          <w:sz w:val="32"/>
          <w:szCs w:val="32"/>
        </w:rPr>
        <w:t>（二）供应商对采购人的答复不满意，或者采购人未在规定时间内作出答复的，可以在答复期满后3个工作日内按照相关法律法规向财政部门提起投诉。</w:t>
      </w:r>
    </w:p>
    <w:p w14:paraId="6604A30D">
      <w:pPr>
        <w:pStyle w:val="3"/>
        <w:spacing w:before="160" w:after="80" w:line="360" w:lineRule="auto"/>
      </w:pPr>
      <w:r>
        <w:rPr>
          <w:rFonts w:ascii="黑体" w:hAnsi="黑体" w:eastAsia="黑体" w:cs="黑体"/>
          <w:b/>
          <w:bCs/>
          <w:sz w:val="32"/>
          <w:szCs w:val="32"/>
        </w:rPr>
        <w:t>七、签订合同</w:t>
      </w:r>
    </w:p>
    <w:p w14:paraId="6960464A">
      <w:pPr>
        <w:spacing w:after="60" w:line="360" w:lineRule="auto"/>
        <w:jc w:val="both"/>
      </w:pPr>
      <w:r>
        <w:rPr>
          <w:rFonts w:ascii="宋体" w:hAnsi="宋体" w:eastAsia="宋体" w:cs="宋体"/>
          <w:sz w:val="32"/>
          <w:szCs w:val="32"/>
        </w:rPr>
        <w:t>（一）采购人应当自公告发起之日起二十日内，按照竞争性比选文件和成交供应商响应文件的约定，与成交供应商签订书面合同。</w:t>
      </w:r>
    </w:p>
    <w:p w14:paraId="1B3EE3FF">
      <w:pPr>
        <w:spacing w:after="60" w:line="360" w:lineRule="auto"/>
        <w:jc w:val="both"/>
      </w:pPr>
      <w:r>
        <w:rPr>
          <w:rFonts w:ascii="宋体" w:hAnsi="宋体" w:eastAsia="宋体" w:cs="宋体"/>
          <w:sz w:val="32"/>
          <w:szCs w:val="32"/>
        </w:rPr>
        <w:t>（二）竞争性比选文件、供应商的响应文件及澄清文件等，均为签订采购合同的依据。</w:t>
      </w:r>
    </w:p>
    <w:p w14:paraId="779173F0">
      <w:r>
        <w:br w:type="page"/>
      </w:r>
    </w:p>
    <w:p w14:paraId="165E3794">
      <w:pPr>
        <w:pStyle w:val="2"/>
        <w:spacing w:before="240" w:after="120" w:line="400" w:lineRule="auto"/>
        <w:jc w:val="center"/>
      </w:pPr>
      <w:bookmarkStart w:id="5" w:name="_Toc24446"/>
      <w:r>
        <w:rPr>
          <w:rFonts w:ascii="黑体" w:hAnsi="黑体" w:eastAsia="黑体" w:cs="黑体"/>
          <w:b/>
          <w:bCs/>
          <w:sz w:val="44"/>
          <w:szCs w:val="44"/>
        </w:rPr>
        <w:t>第六篇  合同草案条款和格式合同</w:t>
      </w:r>
      <w:bookmarkEnd w:id="5"/>
    </w:p>
    <w:p w14:paraId="2A088690">
      <w:pPr>
        <w:spacing w:before="200" w:after="200" w:line="400" w:lineRule="auto"/>
        <w:jc w:val="center"/>
      </w:pPr>
      <w:r>
        <w:rPr>
          <w:rFonts w:ascii="黑体" w:hAnsi="黑体" w:eastAsia="黑体" w:cs="黑体"/>
          <w:b/>
          <w:bCs/>
          <w:sz w:val="44"/>
          <w:szCs w:val="44"/>
        </w:rPr>
        <w:t>传染病接口改造服务项目采购合同</w:t>
      </w:r>
    </w:p>
    <w:p w14:paraId="0942C417">
      <w:pPr>
        <w:spacing w:after="200"/>
        <w:jc w:val="right"/>
      </w:pPr>
      <w:r>
        <w:rPr>
          <w:rFonts w:ascii="宋体" w:hAnsi="宋体" w:eastAsia="宋体" w:cs="宋体"/>
          <w:sz w:val="32"/>
          <w:szCs w:val="32"/>
        </w:rPr>
        <w:t>（合同编号：     ）</w:t>
      </w:r>
    </w:p>
    <w:p w14:paraId="0963A465">
      <w:pPr>
        <w:spacing w:after="60" w:line="360" w:lineRule="auto"/>
        <w:jc w:val="both"/>
      </w:pPr>
      <w:r>
        <w:rPr>
          <w:rFonts w:ascii="宋体" w:hAnsi="宋体" w:eastAsia="宋体" w:cs="宋体"/>
          <w:sz w:val="32"/>
          <w:szCs w:val="32"/>
        </w:rPr>
        <w:t>甲方：___________________________    计价单位：____________</w:t>
      </w:r>
    </w:p>
    <w:p w14:paraId="409940A4">
      <w:pPr>
        <w:spacing w:after="60" w:line="360" w:lineRule="auto"/>
        <w:jc w:val="both"/>
      </w:pPr>
      <w:r>
        <w:rPr>
          <w:rFonts w:ascii="宋体" w:hAnsi="宋体" w:eastAsia="宋体" w:cs="宋体"/>
          <w:sz w:val="32"/>
          <w:szCs w:val="32"/>
        </w:rPr>
        <w:t>乙方：___________________________   计量单位：_____________</w:t>
      </w:r>
    </w:p>
    <w:p w14:paraId="11904797">
      <w:pPr>
        <w:spacing w:after="60" w:line="360" w:lineRule="auto"/>
        <w:jc w:val="both"/>
      </w:pPr>
      <w:r>
        <w:rPr>
          <w:rFonts w:ascii="宋体" w:hAnsi="宋体" w:eastAsia="宋体" w:cs="宋体"/>
          <w:sz w:val="32"/>
          <w:szCs w:val="32"/>
        </w:rPr>
        <w:t>经双方协商一致，达成以下购销合同：</w:t>
      </w:r>
    </w:p>
    <w:p w14:paraId="557911BE">
      <w:pPr>
        <w:spacing w:line="360" w:lineRule="auto"/>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59"/>
        <w:gridCol w:w="2209"/>
        <w:gridCol w:w="2159"/>
        <w:gridCol w:w="2159"/>
      </w:tblGrid>
      <w:tr w14:paraId="6954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340" w:type="dxa"/>
            <w:tcBorders>
              <w:top w:val="single" w:color="000000" w:sz="0" w:space="0"/>
              <w:left w:val="single" w:color="000000" w:sz="0" w:space="0"/>
              <w:bottom w:val="single" w:color="000000" w:sz="0" w:space="0"/>
              <w:right w:val="single" w:color="000000" w:sz="0" w:space="0"/>
            </w:tcBorders>
            <w:shd w:val="clear" w:color="auto" w:fill="D5E8F0"/>
          </w:tcPr>
          <w:p w14:paraId="3DE8AF48">
            <w:pPr>
              <w:spacing w:line="300" w:lineRule="auto"/>
              <w:jc w:val="center"/>
            </w:pPr>
            <w:r>
              <w:rPr>
                <w:rFonts w:ascii="宋体" w:hAnsi="宋体" w:eastAsia="宋体" w:cs="宋体"/>
                <w:sz w:val="28"/>
                <w:szCs w:val="28"/>
              </w:rPr>
              <w:t>项目名称</w:t>
            </w:r>
          </w:p>
        </w:tc>
        <w:tc>
          <w:tcPr>
            <w:tcW w:w="2340" w:type="dxa"/>
            <w:tcBorders>
              <w:top w:val="single" w:color="000000" w:sz="0" w:space="0"/>
              <w:left w:val="single" w:color="000000" w:sz="0" w:space="0"/>
              <w:bottom w:val="single" w:color="000000" w:sz="0" w:space="0"/>
              <w:right w:val="single" w:color="000000" w:sz="0" w:space="0"/>
            </w:tcBorders>
            <w:shd w:val="clear" w:color="auto" w:fill="D5E8F0"/>
          </w:tcPr>
          <w:p w14:paraId="22B26881">
            <w:pPr>
              <w:spacing w:line="300" w:lineRule="auto"/>
              <w:jc w:val="center"/>
            </w:pPr>
            <w:r>
              <w:rPr>
                <w:rFonts w:ascii="宋体" w:hAnsi="宋体" w:eastAsia="宋体" w:cs="宋体"/>
                <w:sz w:val="28"/>
                <w:szCs w:val="28"/>
              </w:rPr>
              <w:t>总价（元）</w:t>
            </w:r>
          </w:p>
        </w:tc>
        <w:tc>
          <w:tcPr>
            <w:tcW w:w="2340" w:type="dxa"/>
            <w:tcBorders>
              <w:top w:val="single" w:color="000000" w:sz="0" w:space="0"/>
              <w:left w:val="single" w:color="000000" w:sz="0" w:space="0"/>
              <w:bottom w:val="single" w:color="000000" w:sz="0" w:space="0"/>
              <w:right w:val="single" w:color="000000" w:sz="0" w:space="0"/>
            </w:tcBorders>
            <w:shd w:val="clear" w:color="auto" w:fill="D5E8F0"/>
          </w:tcPr>
          <w:p w14:paraId="313E4A39">
            <w:pPr>
              <w:spacing w:line="300" w:lineRule="auto"/>
              <w:jc w:val="center"/>
            </w:pPr>
            <w:r>
              <w:rPr>
                <w:rFonts w:ascii="宋体" w:hAnsi="宋体" w:eastAsia="宋体" w:cs="宋体"/>
                <w:sz w:val="28"/>
                <w:szCs w:val="28"/>
              </w:rPr>
              <w:t>服务时间</w:t>
            </w:r>
          </w:p>
        </w:tc>
        <w:tc>
          <w:tcPr>
            <w:tcW w:w="2340" w:type="dxa"/>
            <w:tcBorders>
              <w:top w:val="single" w:color="000000" w:sz="0" w:space="0"/>
              <w:left w:val="single" w:color="000000" w:sz="0" w:space="0"/>
              <w:bottom w:val="single" w:color="000000" w:sz="0" w:space="0"/>
              <w:right w:val="single" w:color="000000" w:sz="0" w:space="0"/>
            </w:tcBorders>
            <w:shd w:val="clear" w:color="auto" w:fill="D5E8F0"/>
          </w:tcPr>
          <w:p w14:paraId="689F6790">
            <w:pPr>
              <w:spacing w:line="300" w:lineRule="auto"/>
              <w:jc w:val="center"/>
            </w:pPr>
            <w:r>
              <w:rPr>
                <w:rFonts w:ascii="宋体" w:hAnsi="宋体" w:eastAsia="宋体" w:cs="宋体"/>
                <w:sz w:val="28"/>
                <w:szCs w:val="28"/>
              </w:rPr>
              <w:t>服务地点</w:t>
            </w:r>
          </w:p>
        </w:tc>
      </w:tr>
      <w:tr w14:paraId="3BEA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40" w:type="dxa"/>
            <w:tcBorders>
              <w:top w:val="single" w:color="000000" w:sz="0" w:space="0"/>
              <w:left w:val="single" w:color="000000" w:sz="0" w:space="0"/>
              <w:bottom w:val="single" w:color="000000" w:sz="0" w:space="0"/>
              <w:right w:val="single" w:color="000000" w:sz="0" w:space="0"/>
            </w:tcBorders>
          </w:tcPr>
          <w:p w14:paraId="459E7830">
            <w:pPr>
              <w:spacing w:line="300" w:lineRule="auto"/>
              <w:jc w:val="center"/>
            </w:pPr>
            <w:r>
              <w:rPr>
                <w:rFonts w:ascii="宋体" w:hAnsi="宋体" w:eastAsia="宋体" w:cs="宋体"/>
                <w:sz w:val="28"/>
                <w:szCs w:val="28"/>
              </w:rPr>
              <w:t>传染病接口改造服务</w:t>
            </w:r>
          </w:p>
        </w:tc>
        <w:tc>
          <w:tcPr>
            <w:tcW w:w="2340" w:type="dxa"/>
            <w:tcBorders>
              <w:top w:val="single" w:color="000000" w:sz="0" w:space="0"/>
              <w:left w:val="single" w:color="000000" w:sz="0" w:space="0"/>
              <w:bottom w:val="single" w:color="000000" w:sz="0" w:space="0"/>
              <w:right w:val="single" w:color="000000" w:sz="0" w:space="0"/>
            </w:tcBorders>
          </w:tcPr>
          <w:p w14:paraId="4C739A6E">
            <w:pPr>
              <w:spacing w:line="300" w:lineRule="auto"/>
              <w:jc w:val="left"/>
            </w:pPr>
          </w:p>
        </w:tc>
        <w:tc>
          <w:tcPr>
            <w:tcW w:w="2340" w:type="dxa"/>
            <w:tcBorders>
              <w:top w:val="single" w:color="000000" w:sz="0" w:space="0"/>
              <w:left w:val="single" w:color="000000" w:sz="0" w:space="0"/>
              <w:bottom w:val="single" w:color="000000" w:sz="0" w:space="0"/>
              <w:right w:val="single" w:color="000000" w:sz="0" w:space="0"/>
            </w:tcBorders>
          </w:tcPr>
          <w:p w14:paraId="53DBCE3F">
            <w:pPr>
              <w:spacing w:line="300" w:lineRule="auto"/>
              <w:jc w:val="left"/>
            </w:pPr>
            <w:r>
              <w:rPr>
                <w:rFonts w:ascii="宋体" w:hAnsi="宋体" w:eastAsia="宋体" w:cs="宋体"/>
                <w:sz w:val="28"/>
                <w:szCs w:val="28"/>
              </w:rPr>
              <w:t>合同签订后1年</w:t>
            </w:r>
          </w:p>
        </w:tc>
        <w:tc>
          <w:tcPr>
            <w:tcW w:w="2340" w:type="dxa"/>
            <w:tcBorders>
              <w:top w:val="single" w:color="000000" w:sz="0" w:space="0"/>
              <w:left w:val="single" w:color="000000" w:sz="0" w:space="0"/>
              <w:bottom w:val="single" w:color="000000" w:sz="0" w:space="0"/>
              <w:right w:val="single" w:color="000000" w:sz="0" w:space="0"/>
            </w:tcBorders>
          </w:tcPr>
          <w:p w14:paraId="740A198D">
            <w:pPr>
              <w:spacing w:line="300" w:lineRule="auto"/>
              <w:jc w:val="left"/>
            </w:pPr>
            <w:r>
              <w:rPr>
                <w:rFonts w:ascii="宋体" w:hAnsi="宋体" w:eastAsia="宋体" w:cs="宋体"/>
                <w:sz w:val="28"/>
                <w:szCs w:val="28"/>
              </w:rPr>
              <w:t>重庆市两江新区人民医院</w:t>
            </w:r>
          </w:p>
        </w:tc>
      </w:tr>
    </w:tbl>
    <w:p w14:paraId="3D0EBE98">
      <w:pPr>
        <w:spacing w:line="360" w:lineRule="auto"/>
      </w:pPr>
    </w:p>
    <w:p w14:paraId="749B7865">
      <w:pPr>
        <w:spacing w:after="60" w:line="360" w:lineRule="auto"/>
        <w:jc w:val="both"/>
      </w:pPr>
      <w:r>
        <w:rPr>
          <w:rFonts w:ascii="宋体" w:hAnsi="宋体" w:eastAsia="宋体" w:cs="宋体"/>
          <w:sz w:val="32"/>
          <w:szCs w:val="32"/>
        </w:rPr>
        <w:t>合计人民币（小写）：__________元</w:t>
      </w:r>
    </w:p>
    <w:p w14:paraId="135D204A">
      <w:pPr>
        <w:spacing w:after="60" w:line="360" w:lineRule="auto"/>
        <w:jc w:val="both"/>
      </w:pPr>
      <w:r>
        <w:rPr>
          <w:rFonts w:ascii="宋体" w:hAnsi="宋体" w:eastAsia="宋体" w:cs="宋体"/>
          <w:sz w:val="32"/>
          <w:szCs w:val="32"/>
        </w:rPr>
        <w:t>合计人民币（大写）：____________________</w:t>
      </w:r>
    </w:p>
    <w:p w14:paraId="6445EAAD">
      <w:pPr>
        <w:spacing w:line="360" w:lineRule="auto"/>
      </w:pPr>
    </w:p>
    <w:p w14:paraId="5006E002">
      <w:pPr>
        <w:spacing w:after="60" w:line="360" w:lineRule="auto"/>
        <w:jc w:val="both"/>
      </w:pPr>
      <w:r>
        <w:rPr>
          <w:rFonts w:ascii="宋体" w:hAnsi="宋体" w:eastAsia="宋体" w:cs="宋体"/>
          <w:sz w:val="32"/>
          <w:szCs w:val="32"/>
        </w:rPr>
        <w:t>一、服务要求：按本竞争性比选文件第二篇项目服务要求及供应商响应文件执行。</w:t>
      </w:r>
    </w:p>
    <w:p w14:paraId="5B22A722">
      <w:pPr>
        <w:spacing w:after="60" w:line="360" w:lineRule="auto"/>
        <w:jc w:val="both"/>
      </w:pPr>
      <w:r>
        <w:rPr>
          <w:rFonts w:ascii="宋体" w:hAnsi="宋体" w:eastAsia="宋体" w:cs="宋体"/>
          <w:sz w:val="32"/>
          <w:szCs w:val="32"/>
        </w:rPr>
        <w:t>二、验收方式：按本竞争性比选文件第三篇项目商务需求验收要求执行。</w:t>
      </w:r>
    </w:p>
    <w:p w14:paraId="7872F17A">
      <w:pPr>
        <w:spacing w:after="60" w:line="360" w:lineRule="auto"/>
        <w:jc w:val="both"/>
      </w:pPr>
      <w:r>
        <w:rPr>
          <w:rFonts w:ascii="宋体" w:hAnsi="宋体" w:eastAsia="宋体" w:cs="宋体"/>
          <w:sz w:val="32"/>
          <w:szCs w:val="32"/>
        </w:rPr>
        <w:t>三、付款方式：验收合格后，服务方开具合同金额100%正规发票，采购人在10个工作日完成全额支付。</w:t>
      </w:r>
    </w:p>
    <w:p w14:paraId="60A9EC27">
      <w:pPr>
        <w:spacing w:after="60" w:line="360" w:lineRule="auto"/>
        <w:jc w:val="both"/>
      </w:pPr>
      <w:r>
        <w:rPr>
          <w:rFonts w:ascii="宋体" w:hAnsi="宋体" w:eastAsia="宋体" w:cs="宋体"/>
          <w:sz w:val="32"/>
          <w:szCs w:val="32"/>
        </w:rPr>
        <w:t>四、违约责任：按《中华人民共和国民法典》、《中华人民共和国政府采购法》执行，或按双方约定。</w:t>
      </w:r>
    </w:p>
    <w:p w14:paraId="7F47DC27">
      <w:pPr>
        <w:spacing w:after="60" w:line="360" w:lineRule="auto"/>
        <w:jc w:val="both"/>
      </w:pPr>
      <w:r>
        <w:rPr>
          <w:rFonts w:ascii="宋体" w:hAnsi="宋体" w:eastAsia="宋体" w:cs="宋体"/>
          <w:sz w:val="32"/>
          <w:szCs w:val="32"/>
        </w:rPr>
        <w:t>五、其他约定事项：</w:t>
      </w:r>
    </w:p>
    <w:p w14:paraId="1D29CEF6">
      <w:pPr>
        <w:spacing w:after="60" w:line="360" w:lineRule="auto"/>
        <w:jc w:val="both"/>
      </w:pPr>
      <w:r>
        <w:rPr>
          <w:rFonts w:ascii="宋体" w:hAnsi="宋体" w:eastAsia="宋体" w:cs="宋体"/>
          <w:sz w:val="32"/>
          <w:szCs w:val="32"/>
        </w:rPr>
        <w:t>1.竞采文件及其澄清文件、响应文件和承诺是本合同不可分割的部分。</w:t>
      </w:r>
    </w:p>
    <w:p w14:paraId="4A8F3380">
      <w:pPr>
        <w:spacing w:after="60" w:line="360" w:lineRule="auto"/>
        <w:jc w:val="both"/>
      </w:pPr>
      <w:r>
        <w:rPr>
          <w:rFonts w:ascii="宋体" w:hAnsi="宋体" w:eastAsia="宋体" w:cs="宋体"/>
          <w:sz w:val="32"/>
          <w:szCs w:val="32"/>
        </w:rPr>
        <w:t>2.本合同如发生争议由双方协商解决，协商不成向甲方所在人民法院提请诉讼。</w:t>
      </w:r>
    </w:p>
    <w:p w14:paraId="793FA67E">
      <w:pPr>
        <w:spacing w:after="60" w:line="360" w:lineRule="auto"/>
        <w:jc w:val="both"/>
      </w:pPr>
      <w:r>
        <w:rPr>
          <w:rFonts w:ascii="宋体" w:hAnsi="宋体" w:eastAsia="宋体" w:cs="宋体"/>
          <w:sz w:val="32"/>
          <w:szCs w:val="32"/>
        </w:rPr>
        <w:t>3.本合同一式__份，甲方__份，乙方__份，具同等法律效力。</w:t>
      </w:r>
    </w:p>
    <w:p w14:paraId="7E55D1D2">
      <w:pPr>
        <w:spacing w:line="360" w:lineRule="auto"/>
      </w:pPr>
    </w:p>
    <w:p w14:paraId="253E6D17">
      <w:pPr>
        <w:spacing w:line="360" w:lineRule="auto"/>
      </w:pPr>
    </w:p>
    <w:p w14:paraId="6F1E9955">
      <w:pPr>
        <w:spacing w:after="60" w:line="360" w:lineRule="auto"/>
        <w:jc w:val="both"/>
      </w:pPr>
      <w:r>
        <w:rPr>
          <w:rFonts w:ascii="宋体" w:hAnsi="宋体" w:eastAsia="宋体" w:cs="宋体"/>
          <w:sz w:val="32"/>
          <w:szCs w:val="32"/>
        </w:rPr>
        <w:t>甲方：                          乙方：</w:t>
      </w:r>
    </w:p>
    <w:p w14:paraId="1BCF89F5">
      <w:pPr>
        <w:spacing w:after="60" w:line="360" w:lineRule="auto"/>
        <w:jc w:val="both"/>
      </w:pPr>
      <w:r>
        <w:rPr>
          <w:rFonts w:ascii="宋体" w:hAnsi="宋体" w:eastAsia="宋体" w:cs="宋体"/>
          <w:sz w:val="32"/>
          <w:szCs w:val="32"/>
        </w:rPr>
        <w:t>地址：                          地址：</w:t>
      </w:r>
    </w:p>
    <w:p w14:paraId="47BDEF4B">
      <w:pPr>
        <w:spacing w:after="60" w:line="360" w:lineRule="auto"/>
        <w:jc w:val="both"/>
      </w:pPr>
      <w:r>
        <w:rPr>
          <w:rFonts w:ascii="宋体" w:hAnsi="宋体" w:eastAsia="宋体" w:cs="宋体"/>
          <w:sz w:val="32"/>
          <w:szCs w:val="32"/>
        </w:rPr>
        <w:t>联系电话：                      电话：</w:t>
      </w:r>
    </w:p>
    <w:p w14:paraId="27A43629">
      <w:pPr>
        <w:spacing w:after="60" w:line="360" w:lineRule="auto"/>
        <w:jc w:val="both"/>
      </w:pPr>
      <w:r>
        <w:rPr>
          <w:rFonts w:ascii="宋体" w:hAnsi="宋体" w:eastAsia="宋体" w:cs="宋体"/>
          <w:sz w:val="32"/>
          <w:szCs w:val="32"/>
        </w:rPr>
        <w:t>甲方（盖章）：重庆市两江新区人民医院    乙方（盖章）：</w:t>
      </w:r>
    </w:p>
    <w:p w14:paraId="7634C094">
      <w:pPr>
        <w:spacing w:after="60" w:line="360" w:lineRule="auto"/>
        <w:jc w:val="both"/>
      </w:pPr>
      <w:r>
        <w:rPr>
          <w:rFonts w:ascii="宋体" w:hAnsi="宋体" w:eastAsia="宋体" w:cs="宋体"/>
          <w:sz w:val="32"/>
          <w:szCs w:val="32"/>
        </w:rPr>
        <w:t>承办人签字：                      授权代表：</w:t>
      </w:r>
    </w:p>
    <w:p w14:paraId="3714C02F">
      <w:pPr>
        <w:spacing w:after="60" w:line="360" w:lineRule="auto"/>
        <w:jc w:val="both"/>
      </w:pPr>
      <w:r>
        <w:rPr>
          <w:rFonts w:ascii="宋体" w:hAnsi="宋体" w:eastAsia="宋体" w:cs="宋体"/>
          <w:sz w:val="32"/>
          <w:szCs w:val="32"/>
        </w:rPr>
        <w:t>承办科室负责人签字：</w:t>
      </w:r>
    </w:p>
    <w:p w14:paraId="1AED195E">
      <w:pPr>
        <w:spacing w:after="60" w:line="360" w:lineRule="auto"/>
        <w:jc w:val="both"/>
      </w:pPr>
      <w:r>
        <w:rPr>
          <w:rFonts w:ascii="宋体" w:hAnsi="宋体" w:eastAsia="宋体" w:cs="宋体"/>
          <w:sz w:val="32"/>
          <w:szCs w:val="32"/>
        </w:rPr>
        <w:t>审计科负责人签字：</w:t>
      </w:r>
    </w:p>
    <w:p w14:paraId="10E43C86">
      <w:pPr>
        <w:spacing w:after="60" w:line="360" w:lineRule="auto"/>
        <w:jc w:val="both"/>
      </w:pPr>
      <w:r>
        <w:rPr>
          <w:rFonts w:ascii="宋体" w:hAnsi="宋体" w:eastAsia="宋体" w:cs="宋体"/>
          <w:sz w:val="32"/>
          <w:szCs w:val="32"/>
        </w:rPr>
        <w:t>分管领导签字：</w:t>
      </w:r>
    </w:p>
    <w:p w14:paraId="3D338FC1">
      <w:pPr>
        <w:spacing w:after="60" w:line="360" w:lineRule="auto"/>
        <w:jc w:val="both"/>
      </w:pPr>
      <w:r>
        <w:rPr>
          <w:rFonts w:ascii="宋体" w:hAnsi="宋体" w:eastAsia="宋体" w:cs="宋体"/>
          <w:sz w:val="32"/>
          <w:szCs w:val="32"/>
        </w:rPr>
        <w:t>主要领导签章：</w:t>
      </w:r>
    </w:p>
    <w:p w14:paraId="5EAFCE1B">
      <w:pPr>
        <w:spacing w:line="360" w:lineRule="auto"/>
      </w:pPr>
    </w:p>
    <w:p w14:paraId="680641AF">
      <w:pPr>
        <w:spacing w:after="60" w:line="360" w:lineRule="auto"/>
        <w:jc w:val="both"/>
      </w:pPr>
      <w:r>
        <w:rPr>
          <w:rFonts w:ascii="宋体" w:hAnsi="宋体" w:eastAsia="宋体" w:cs="宋体"/>
          <w:sz w:val="32"/>
          <w:szCs w:val="32"/>
        </w:rPr>
        <w:t>签订日期：   年  月 日</w:t>
      </w:r>
    </w:p>
    <w:p w14:paraId="287C0E16">
      <w:pPr>
        <w:spacing w:line="360" w:lineRule="auto"/>
      </w:pPr>
    </w:p>
    <w:p w14:paraId="61668BFB">
      <w:pPr>
        <w:spacing w:after="60" w:line="360" w:lineRule="auto"/>
        <w:jc w:val="both"/>
      </w:pPr>
      <w:r>
        <w:rPr>
          <w:rFonts w:ascii="宋体" w:hAnsi="宋体" w:eastAsia="宋体" w:cs="宋体"/>
          <w:sz w:val="32"/>
          <w:szCs w:val="32"/>
        </w:rPr>
        <w:t>签约时间：           年   月   日      签约地点：</w:t>
      </w:r>
    </w:p>
    <w:p w14:paraId="5A782ABC">
      <w:r>
        <w:br w:type="page"/>
      </w:r>
    </w:p>
    <w:p w14:paraId="75CEF250">
      <w:pPr>
        <w:pStyle w:val="2"/>
        <w:spacing w:before="240" w:after="120" w:line="400" w:lineRule="auto"/>
        <w:jc w:val="center"/>
      </w:pPr>
      <w:bookmarkStart w:id="6" w:name="_Toc2580"/>
      <w:r>
        <w:rPr>
          <w:rFonts w:ascii="黑体" w:hAnsi="黑体" w:eastAsia="黑体" w:cs="黑体"/>
          <w:b/>
          <w:bCs/>
          <w:sz w:val="44"/>
          <w:szCs w:val="44"/>
        </w:rPr>
        <w:t>第七篇  响应文件编制要求</w:t>
      </w:r>
      <w:bookmarkEnd w:id="6"/>
    </w:p>
    <w:p w14:paraId="0616A738">
      <w:pPr>
        <w:pStyle w:val="3"/>
        <w:spacing w:before="160" w:after="80" w:line="360" w:lineRule="auto"/>
      </w:pPr>
      <w:r>
        <w:rPr>
          <w:rFonts w:ascii="黑体" w:hAnsi="黑体" w:eastAsia="黑体" w:cs="黑体"/>
          <w:b/>
          <w:bCs/>
          <w:sz w:val="32"/>
          <w:szCs w:val="32"/>
        </w:rPr>
        <w:t>一、经济部分</w:t>
      </w:r>
    </w:p>
    <w:p w14:paraId="75118998">
      <w:pPr>
        <w:spacing w:after="60" w:line="360" w:lineRule="auto"/>
        <w:jc w:val="both"/>
      </w:pPr>
      <w:r>
        <w:rPr>
          <w:rFonts w:ascii="宋体" w:hAnsi="宋体" w:eastAsia="宋体" w:cs="宋体"/>
          <w:sz w:val="32"/>
          <w:szCs w:val="32"/>
        </w:rPr>
        <w:t>（一）报价函</w:t>
      </w:r>
    </w:p>
    <w:p w14:paraId="3EDE77F4">
      <w:pPr>
        <w:spacing w:after="60" w:line="360" w:lineRule="auto"/>
        <w:jc w:val="both"/>
      </w:pPr>
      <w:r>
        <w:rPr>
          <w:rFonts w:ascii="宋体" w:hAnsi="宋体" w:eastAsia="宋体" w:cs="宋体"/>
          <w:sz w:val="32"/>
          <w:szCs w:val="32"/>
        </w:rPr>
        <w:t>（二）明细报价表</w:t>
      </w:r>
    </w:p>
    <w:p w14:paraId="6EC2FA1E">
      <w:pPr>
        <w:pStyle w:val="3"/>
        <w:spacing w:before="160" w:after="80" w:line="360" w:lineRule="auto"/>
      </w:pPr>
      <w:r>
        <w:rPr>
          <w:rFonts w:ascii="黑体" w:hAnsi="黑体" w:eastAsia="黑体" w:cs="黑体"/>
          <w:b/>
          <w:bCs/>
          <w:sz w:val="32"/>
          <w:szCs w:val="32"/>
        </w:rPr>
        <w:t>二、服务部分</w:t>
      </w:r>
    </w:p>
    <w:p w14:paraId="5A6995B6">
      <w:pPr>
        <w:spacing w:after="60" w:line="360" w:lineRule="auto"/>
        <w:jc w:val="both"/>
      </w:pPr>
      <w:r>
        <w:rPr>
          <w:rFonts w:ascii="宋体" w:hAnsi="宋体" w:eastAsia="宋体" w:cs="宋体"/>
          <w:sz w:val="32"/>
          <w:szCs w:val="32"/>
        </w:rPr>
        <w:t>（一）服务响应偏离表</w:t>
      </w:r>
    </w:p>
    <w:p w14:paraId="7D68BA6E">
      <w:pPr>
        <w:spacing w:after="60" w:line="360" w:lineRule="auto"/>
        <w:jc w:val="both"/>
      </w:pPr>
      <w:r>
        <w:rPr>
          <w:rFonts w:ascii="宋体" w:hAnsi="宋体" w:eastAsia="宋体" w:cs="宋体"/>
          <w:sz w:val="32"/>
          <w:szCs w:val="32"/>
        </w:rPr>
        <w:t>（二）其他服务部分（如有）</w:t>
      </w:r>
    </w:p>
    <w:p w14:paraId="2223108E">
      <w:pPr>
        <w:pStyle w:val="3"/>
        <w:spacing w:before="160" w:after="80" w:line="360" w:lineRule="auto"/>
      </w:pPr>
      <w:r>
        <w:rPr>
          <w:rFonts w:ascii="黑体" w:hAnsi="黑体" w:eastAsia="黑体" w:cs="黑体"/>
          <w:b/>
          <w:bCs/>
          <w:sz w:val="32"/>
          <w:szCs w:val="32"/>
        </w:rPr>
        <w:t>三、商务部分</w:t>
      </w:r>
    </w:p>
    <w:p w14:paraId="487FD121">
      <w:pPr>
        <w:spacing w:after="60" w:line="360" w:lineRule="auto"/>
        <w:jc w:val="both"/>
      </w:pPr>
      <w:r>
        <w:rPr>
          <w:rFonts w:ascii="宋体" w:hAnsi="宋体" w:eastAsia="宋体" w:cs="宋体"/>
          <w:sz w:val="32"/>
          <w:szCs w:val="32"/>
        </w:rPr>
        <w:t>（一）商务响应偏离表</w:t>
      </w:r>
    </w:p>
    <w:p w14:paraId="5BEDA3AD">
      <w:pPr>
        <w:spacing w:after="60" w:line="360" w:lineRule="auto"/>
        <w:jc w:val="both"/>
      </w:pPr>
      <w:r>
        <w:rPr>
          <w:rFonts w:ascii="宋体" w:hAnsi="宋体" w:eastAsia="宋体" w:cs="宋体"/>
          <w:sz w:val="32"/>
          <w:szCs w:val="32"/>
        </w:rPr>
        <w:t>（二）其他商务部分（如有）</w:t>
      </w:r>
    </w:p>
    <w:p w14:paraId="6510369E">
      <w:pPr>
        <w:pStyle w:val="3"/>
        <w:spacing w:before="160" w:after="80" w:line="360" w:lineRule="auto"/>
      </w:pPr>
      <w:r>
        <w:rPr>
          <w:rFonts w:ascii="黑体" w:hAnsi="黑体" w:eastAsia="黑体" w:cs="黑体"/>
          <w:b/>
          <w:bCs/>
          <w:sz w:val="32"/>
          <w:szCs w:val="32"/>
        </w:rPr>
        <w:t>四、资格条件及其他</w:t>
      </w:r>
    </w:p>
    <w:p w14:paraId="067CAD60">
      <w:pPr>
        <w:spacing w:after="60" w:line="360" w:lineRule="auto"/>
        <w:jc w:val="both"/>
      </w:pPr>
      <w:r>
        <w:rPr>
          <w:rFonts w:ascii="宋体" w:hAnsi="宋体" w:eastAsia="宋体" w:cs="宋体"/>
          <w:sz w:val="32"/>
          <w:szCs w:val="32"/>
        </w:rPr>
        <w:t>（一）法人营业执照（副本）或事业单位法人证书（副本）或个体工商户营业执照或有效的自然人身份证明或社会团体法人登记证书等</w:t>
      </w:r>
    </w:p>
    <w:p w14:paraId="6495B4B5">
      <w:pPr>
        <w:spacing w:after="60" w:line="360" w:lineRule="auto"/>
        <w:jc w:val="both"/>
      </w:pPr>
      <w:r>
        <w:rPr>
          <w:rFonts w:ascii="宋体" w:hAnsi="宋体" w:eastAsia="宋体" w:cs="宋体"/>
          <w:sz w:val="32"/>
          <w:szCs w:val="32"/>
        </w:rPr>
        <w:t>（二）法定代表人身份证明书（格式）</w:t>
      </w:r>
    </w:p>
    <w:p w14:paraId="12108632">
      <w:pPr>
        <w:spacing w:after="60" w:line="360" w:lineRule="auto"/>
        <w:jc w:val="both"/>
      </w:pPr>
      <w:r>
        <w:rPr>
          <w:rFonts w:ascii="宋体" w:hAnsi="宋体" w:eastAsia="宋体" w:cs="宋体"/>
          <w:sz w:val="32"/>
          <w:szCs w:val="32"/>
        </w:rPr>
        <w:t>（三）法定代表人社保证明材料</w:t>
      </w:r>
    </w:p>
    <w:p w14:paraId="5DBC4E79">
      <w:pPr>
        <w:spacing w:after="60" w:line="360" w:lineRule="auto"/>
        <w:jc w:val="both"/>
      </w:pPr>
      <w:r>
        <w:rPr>
          <w:rFonts w:ascii="宋体" w:hAnsi="宋体" w:eastAsia="宋体" w:cs="宋体"/>
          <w:sz w:val="32"/>
          <w:szCs w:val="32"/>
        </w:rPr>
        <w:t>（四）法定代表人未缴纳社保情况说明（格式）</w:t>
      </w:r>
    </w:p>
    <w:p w14:paraId="6F2DD7EC">
      <w:pPr>
        <w:spacing w:after="60" w:line="360" w:lineRule="auto"/>
        <w:jc w:val="both"/>
      </w:pPr>
      <w:r>
        <w:rPr>
          <w:rFonts w:ascii="宋体" w:hAnsi="宋体" w:eastAsia="宋体" w:cs="宋体"/>
          <w:sz w:val="32"/>
          <w:szCs w:val="32"/>
        </w:rPr>
        <w:t>（五）法定代表人授权委托书（格式）</w:t>
      </w:r>
    </w:p>
    <w:p w14:paraId="1E5E75F2">
      <w:pPr>
        <w:spacing w:after="60" w:line="360" w:lineRule="auto"/>
        <w:jc w:val="both"/>
      </w:pPr>
      <w:r>
        <w:rPr>
          <w:rFonts w:ascii="宋体" w:hAnsi="宋体" w:eastAsia="宋体" w:cs="宋体"/>
          <w:sz w:val="32"/>
          <w:szCs w:val="32"/>
        </w:rPr>
        <w:t>（六）授权代表社保证明材料</w:t>
      </w:r>
    </w:p>
    <w:p w14:paraId="2E6EB2DB">
      <w:pPr>
        <w:spacing w:after="60" w:line="360" w:lineRule="auto"/>
        <w:jc w:val="both"/>
      </w:pPr>
      <w:r>
        <w:rPr>
          <w:rFonts w:ascii="宋体" w:hAnsi="宋体" w:eastAsia="宋体" w:cs="宋体"/>
          <w:sz w:val="32"/>
          <w:szCs w:val="32"/>
        </w:rPr>
        <w:t>（七）基本资格条件承诺函（格式）</w:t>
      </w:r>
    </w:p>
    <w:p w14:paraId="5A834194">
      <w:pPr>
        <w:spacing w:after="60" w:line="360" w:lineRule="auto"/>
        <w:jc w:val="both"/>
      </w:pPr>
      <w:r>
        <w:rPr>
          <w:rFonts w:ascii="宋体" w:hAnsi="宋体" w:eastAsia="宋体" w:cs="宋体"/>
          <w:sz w:val="32"/>
          <w:szCs w:val="32"/>
        </w:rPr>
        <w:t>（八）特定资格条件证明材料（若有）</w:t>
      </w:r>
    </w:p>
    <w:p w14:paraId="29760457">
      <w:pPr>
        <w:pStyle w:val="3"/>
        <w:spacing w:before="160" w:after="80" w:line="360" w:lineRule="auto"/>
      </w:pPr>
      <w:r>
        <w:rPr>
          <w:rFonts w:ascii="黑体" w:hAnsi="黑体" w:eastAsia="黑体" w:cs="黑体"/>
          <w:b/>
          <w:bCs/>
          <w:sz w:val="32"/>
          <w:szCs w:val="32"/>
        </w:rPr>
        <w:t>五、其他应提供的资料</w:t>
      </w:r>
    </w:p>
    <w:p w14:paraId="015E8BD6">
      <w:pPr>
        <w:spacing w:after="60" w:line="360" w:lineRule="auto"/>
        <w:jc w:val="both"/>
      </w:pPr>
      <w:r>
        <w:rPr>
          <w:rFonts w:ascii="宋体" w:hAnsi="宋体" w:eastAsia="宋体" w:cs="宋体"/>
          <w:sz w:val="32"/>
          <w:szCs w:val="32"/>
        </w:rPr>
        <w:t>（一）其他与项目有关的资料</w:t>
      </w:r>
    </w:p>
    <w:p w14:paraId="77AE31D9">
      <w:pPr>
        <w:spacing w:line="360" w:lineRule="auto"/>
      </w:pPr>
    </w:p>
    <w:p w14:paraId="0FBD0E72">
      <w:pPr>
        <w:pStyle w:val="3"/>
        <w:spacing w:before="160" w:after="80" w:line="360" w:lineRule="auto"/>
      </w:pPr>
      <w:r>
        <w:rPr>
          <w:rFonts w:ascii="黑体" w:hAnsi="黑体" w:eastAsia="黑体" w:cs="黑体"/>
          <w:b/>
          <w:bCs/>
          <w:sz w:val="32"/>
          <w:szCs w:val="32"/>
        </w:rPr>
        <w:t>报价函格式</w:t>
      </w:r>
    </w:p>
    <w:p w14:paraId="08AFC176">
      <w:pPr>
        <w:spacing w:after="60" w:line="360" w:lineRule="auto"/>
        <w:jc w:val="both"/>
      </w:pPr>
      <w:r>
        <w:rPr>
          <w:rFonts w:ascii="宋体" w:hAnsi="宋体" w:eastAsia="宋体" w:cs="宋体"/>
          <w:sz w:val="32"/>
          <w:szCs w:val="32"/>
        </w:rPr>
        <w:t>报价函</w:t>
      </w:r>
    </w:p>
    <w:p w14:paraId="12F3F664">
      <w:pPr>
        <w:spacing w:after="60" w:line="360" w:lineRule="auto"/>
        <w:jc w:val="both"/>
      </w:pPr>
      <w:r>
        <w:rPr>
          <w:rFonts w:ascii="宋体" w:hAnsi="宋体" w:eastAsia="宋体" w:cs="宋体"/>
          <w:sz w:val="32"/>
          <w:szCs w:val="32"/>
        </w:rPr>
        <w:t>（采购人名称）：</w:t>
      </w:r>
    </w:p>
    <w:p w14:paraId="7428503B">
      <w:pPr>
        <w:spacing w:after="60" w:line="360" w:lineRule="auto"/>
        <w:jc w:val="both"/>
      </w:pPr>
      <w:r>
        <w:rPr>
          <w:rFonts w:ascii="宋体" w:hAnsi="宋体" w:eastAsia="宋体" w:cs="宋体"/>
          <w:sz w:val="32"/>
          <w:szCs w:val="32"/>
        </w:rPr>
        <w:t>我方收到____________________________（项目名称）的竞争性比选文件，经详细研究，决定参加该项目的竞争性比选。</w:t>
      </w:r>
    </w:p>
    <w:p w14:paraId="0F8889B2">
      <w:pPr>
        <w:spacing w:after="60" w:line="360" w:lineRule="auto"/>
        <w:jc w:val="both"/>
      </w:pPr>
      <w:r>
        <w:rPr>
          <w:rFonts w:ascii="宋体" w:hAnsi="宋体" w:eastAsia="宋体" w:cs="宋体"/>
          <w:sz w:val="32"/>
          <w:szCs w:val="32"/>
        </w:rPr>
        <w:t>1、愿意按照竞争性比选文件中的一切要求，提供本项目相关设备及服务，项目总报价为人民币大写：               元；人民币小写：         元。</w:t>
      </w:r>
    </w:p>
    <w:p w14:paraId="6FA4BEA5">
      <w:pPr>
        <w:spacing w:after="60" w:line="360" w:lineRule="auto"/>
        <w:jc w:val="both"/>
      </w:pPr>
      <w:r>
        <w:rPr>
          <w:rFonts w:ascii="宋体" w:hAnsi="宋体" w:eastAsia="宋体" w:cs="宋体"/>
          <w:sz w:val="32"/>
          <w:szCs w:val="32"/>
        </w:rPr>
        <w:t>2.我方按竞争性比选文件要求提交的比选申请文件为：比选申请文件正份，电子文档一份。</w:t>
      </w:r>
    </w:p>
    <w:p w14:paraId="00B99564">
      <w:pPr>
        <w:spacing w:after="60" w:line="360" w:lineRule="auto"/>
        <w:jc w:val="both"/>
      </w:pPr>
      <w:r>
        <w:rPr>
          <w:rFonts w:ascii="宋体" w:hAnsi="宋体" w:eastAsia="宋体" w:cs="宋体"/>
          <w:sz w:val="32"/>
          <w:szCs w:val="32"/>
        </w:rPr>
        <w:t>3、我方承诺：本次竞争性比选的有效期为提交响应文件截止时间起90日历天。</w:t>
      </w:r>
    </w:p>
    <w:p w14:paraId="430A7ED5">
      <w:pPr>
        <w:spacing w:after="60" w:line="360" w:lineRule="auto"/>
        <w:jc w:val="both"/>
      </w:pPr>
      <w:r>
        <w:rPr>
          <w:rFonts w:ascii="宋体" w:hAnsi="宋体" w:eastAsia="宋体" w:cs="宋体"/>
          <w:sz w:val="32"/>
          <w:szCs w:val="32"/>
        </w:rPr>
        <w:t>4、我方完全理解和接受贵方竞争性比选文件的一切规定和要求及评审办法。</w:t>
      </w:r>
    </w:p>
    <w:p w14:paraId="7FC89CBD">
      <w:pPr>
        <w:spacing w:after="60" w:line="360" w:lineRule="auto"/>
        <w:jc w:val="both"/>
      </w:pPr>
      <w:r>
        <w:rPr>
          <w:rFonts w:ascii="宋体" w:hAnsi="宋体" w:eastAsia="宋体" w:cs="宋体"/>
          <w:sz w:val="32"/>
          <w:szCs w:val="32"/>
        </w:rPr>
        <w:t>5、在整个竞争性比选过程中，我方若有违规行为，接受按照《中华人民共和国政府采购法》之规定给予惩罚。</w:t>
      </w:r>
    </w:p>
    <w:p w14:paraId="699B0C8E">
      <w:pPr>
        <w:spacing w:after="60" w:line="360" w:lineRule="auto"/>
        <w:jc w:val="both"/>
      </w:pPr>
      <w:r>
        <w:rPr>
          <w:rFonts w:ascii="宋体" w:hAnsi="宋体" w:eastAsia="宋体" w:cs="宋体"/>
          <w:sz w:val="32"/>
          <w:szCs w:val="32"/>
        </w:rPr>
        <w:t>6、我方若成为成交供应商，将按照最终竞争性比选结果签订合同，并且严格履行合同义务。</w:t>
      </w:r>
    </w:p>
    <w:p w14:paraId="317F7A23">
      <w:pPr>
        <w:spacing w:after="60" w:line="360" w:lineRule="auto"/>
        <w:jc w:val="both"/>
      </w:pPr>
      <w:r>
        <w:rPr>
          <w:rFonts w:ascii="宋体" w:hAnsi="宋体" w:eastAsia="宋体" w:cs="宋体"/>
          <w:sz w:val="32"/>
          <w:szCs w:val="32"/>
        </w:rPr>
        <w:t>7、我方未为采购项目提供整体设计、规范编制或者项目管理、监理、检测等服务。</w:t>
      </w:r>
    </w:p>
    <w:p w14:paraId="1C78A0D6">
      <w:pPr>
        <w:spacing w:after="60" w:line="360" w:lineRule="auto"/>
        <w:jc w:val="both"/>
        <w:rPr>
          <w:rFonts w:ascii="宋体" w:hAnsi="宋体" w:eastAsia="宋体" w:cs="宋体"/>
          <w:sz w:val="32"/>
          <w:szCs w:val="32"/>
        </w:rPr>
      </w:pPr>
      <w:r>
        <w:rPr>
          <w:rFonts w:ascii="宋体" w:hAnsi="宋体" w:eastAsia="宋体" w:cs="宋体"/>
          <w:sz w:val="32"/>
          <w:szCs w:val="32"/>
        </w:rPr>
        <w:t>8、我方不存在单位负责人为同一人或者存在直接控股、管理关系的不同供应商参加同一合同项（分包）下的政府采购活动的情形。</w:t>
      </w:r>
    </w:p>
    <w:p w14:paraId="6CE9767C">
      <w:pPr>
        <w:spacing w:after="60" w:line="360" w:lineRule="auto"/>
        <w:jc w:val="both"/>
        <w:rPr>
          <w:rFonts w:hint="default" w:ascii="宋体" w:hAnsi="宋体" w:eastAsia="宋体" w:cs="宋体"/>
          <w:sz w:val="32"/>
          <w:szCs w:val="32"/>
          <w:lang w:val="en-US" w:eastAsia="zh-CN"/>
        </w:rPr>
      </w:pPr>
      <w:r>
        <w:rPr>
          <w:rFonts w:hint="eastAsia" w:cs="宋体"/>
          <w:sz w:val="32"/>
          <w:szCs w:val="32"/>
          <w:lang w:val="en-US" w:eastAsia="zh-CN"/>
        </w:rPr>
        <w:t>9.我方在采购项目评审（评标）环节结束后，随时接受采购人、采购代理机构的检查验证，配合提供相关证明材料，证明投标文件（响应文件）的内容是真实的、合法的、有效的，经调查核实为虚假的，视为提供虚假材料谋取中标、成交的违法行为，依照《中华人民共和国政府采购法》等法律法规追究相应责任。</w:t>
      </w:r>
    </w:p>
    <w:p w14:paraId="7D8379CE">
      <w:pPr>
        <w:spacing w:after="60" w:line="360" w:lineRule="auto"/>
        <w:jc w:val="both"/>
      </w:pPr>
      <w:r>
        <w:rPr>
          <w:rFonts w:hint="eastAsia" w:cs="宋体"/>
          <w:sz w:val="32"/>
          <w:szCs w:val="32"/>
          <w:lang w:val="en-US" w:eastAsia="zh-CN"/>
        </w:rPr>
        <w:t>10</w:t>
      </w:r>
      <w:r>
        <w:rPr>
          <w:rFonts w:ascii="宋体" w:hAnsi="宋体" w:eastAsia="宋体" w:cs="宋体"/>
          <w:sz w:val="32"/>
          <w:szCs w:val="32"/>
        </w:rPr>
        <w:t>、本承诺函将成为合同不可分割的一部分，与合同具有同等的法律效力。</w:t>
      </w:r>
    </w:p>
    <w:p w14:paraId="24501940">
      <w:pPr>
        <w:spacing w:line="360" w:lineRule="auto"/>
      </w:pPr>
    </w:p>
    <w:p w14:paraId="3768B5A8">
      <w:pPr>
        <w:spacing w:line="360" w:lineRule="auto"/>
      </w:pPr>
    </w:p>
    <w:p w14:paraId="6A4B982A">
      <w:pPr>
        <w:spacing w:after="60" w:line="360" w:lineRule="auto"/>
        <w:jc w:val="both"/>
      </w:pPr>
      <w:r>
        <w:rPr>
          <w:rFonts w:ascii="宋体" w:hAnsi="宋体" w:eastAsia="宋体" w:cs="宋体"/>
          <w:sz w:val="32"/>
          <w:szCs w:val="32"/>
        </w:rPr>
        <w:t>供应商（公章）：</w:t>
      </w:r>
    </w:p>
    <w:p w14:paraId="6DD6E9DC">
      <w:pPr>
        <w:spacing w:after="60" w:line="360" w:lineRule="auto"/>
        <w:jc w:val="both"/>
      </w:pPr>
      <w:r>
        <w:rPr>
          <w:rFonts w:ascii="宋体" w:hAnsi="宋体" w:eastAsia="宋体" w:cs="宋体"/>
          <w:sz w:val="32"/>
          <w:szCs w:val="32"/>
        </w:rPr>
        <w:t>地址：</w:t>
      </w:r>
    </w:p>
    <w:p w14:paraId="5BB24EA9">
      <w:pPr>
        <w:spacing w:after="60" w:line="360" w:lineRule="auto"/>
        <w:jc w:val="both"/>
      </w:pPr>
      <w:r>
        <w:rPr>
          <w:rFonts w:ascii="宋体" w:hAnsi="宋体" w:eastAsia="宋体" w:cs="宋体"/>
          <w:sz w:val="32"/>
          <w:szCs w:val="32"/>
        </w:rPr>
        <w:t>电话：                                             传真：</w:t>
      </w:r>
    </w:p>
    <w:p w14:paraId="01F9289F">
      <w:pPr>
        <w:spacing w:after="60" w:line="360" w:lineRule="auto"/>
        <w:jc w:val="both"/>
      </w:pPr>
      <w:r>
        <w:rPr>
          <w:rFonts w:ascii="宋体" w:hAnsi="宋体" w:eastAsia="宋体" w:cs="宋体"/>
          <w:sz w:val="32"/>
          <w:szCs w:val="32"/>
        </w:rPr>
        <w:t>联系人：</w:t>
      </w:r>
    </w:p>
    <w:p w14:paraId="70E17E66">
      <w:pPr>
        <w:spacing w:after="60" w:line="360" w:lineRule="auto"/>
        <w:jc w:val="both"/>
      </w:pPr>
      <w:r>
        <w:rPr>
          <w:rFonts w:ascii="宋体" w:hAnsi="宋体" w:eastAsia="宋体" w:cs="宋体"/>
          <w:sz w:val="32"/>
          <w:szCs w:val="32"/>
        </w:rPr>
        <w:t>年   月   日</w:t>
      </w:r>
    </w:p>
    <w:p w14:paraId="3F4D979B">
      <w:pPr>
        <w:spacing w:line="360" w:lineRule="auto"/>
      </w:pPr>
    </w:p>
    <w:p w14:paraId="335E7326">
      <w:pPr>
        <w:pStyle w:val="3"/>
        <w:spacing w:before="160" w:after="80" w:line="360" w:lineRule="auto"/>
      </w:pPr>
      <w:r>
        <w:rPr>
          <w:rFonts w:ascii="黑体" w:hAnsi="黑体" w:eastAsia="黑体" w:cs="黑体"/>
          <w:b/>
          <w:bCs/>
          <w:sz w:val="32"/>
          <w:szCs w:val="32"/>
        </w:rPr>
        <w:t>明细报价表格式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5"/>
        <w:gridCol w:w="1845"/>
        <w:gridCol w:w="1814"/>
        <w:gridCol w:w="923"/>
        <w:gridCol w:w="1483"/>
        <w:gridCol w:w="1876"/>
      </w:tblGrid>
      <w:tr w14:paraId="634C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000000" w:sz="0" w:space="0"/>
              <w:left w:val="single" w:color="000000" w:sz="0" w:space="0"/>
              <w:bottom w:val="single" w:color="000000" w:sz="0" w:space="0"/>
              <w:right w:val="single" w:color="000000" w:sz="0" w:space="0"/>
            </w:tcBorders>
            <w:shd w:val="clear" w:color="auto" w:fill="D5E8F0"/>
          </w:tcPr>
          <w:p w14:paraId="68A9C41F">
            <w:pPr>
              <w:spacing w:line="300" w:lineRule="auto"/>
              <w:jc w:val="center"/>
            </w:pPr>
            <w:r>
              <w:rPr>
                <w:rFonts w:ascii="宋体" w:hAnsi="宋体" w:eastAsia="宋体" w:cs="宋体"/>
                <w:sz w:val="28"/>
                <w:szCs w:val="28"/>
              </w:rPr>
              <w:t>序号</w:t>
            </w:r>
          </w:p>
        </w:tc>
        <w:tc>
          <w:tcPr>
            <w:tcW w:w="2000" w:type="dxa"/>
            <w:tcBorders>
              <w:top w:val="single" w:color="000000" w:sz="0" w:space="0"/>
              <w:left w:val="single" w:color="000000" w:sz="0" w:space="0"/>
              <w:bottom w:val="single" w:color="000000" w:sz="0" w:space="0"/>
              <w:right w:val="single" w:color="000000" w:sz="0" w:space="0"/>
            </w:tcBorders>
            <w:shd w:val="clear" w:color="auto" w:fill="D5E8F0"/>
          </w:tcPr>
          <w:p w14:paraId="68B2814E">
            <w:pPr>
              <w:spacing w:line="300" w:lineRule="auto"/>
              <w:jc w:val="center"/>
            </w:pPr>
            <w:r>
              <w:rPr>
                <w:rFonts w:ascii="宋体" w:hAnsi="宋体" w:eastAsia="宋体" w:cs="宋体"/>
                <w:sz w:val="28"/>
                <w:szCs w:val="28"/>
              </w:rPr>
              <w:t>名称</w:t>
            </w:r>
          </w:p>
        </w:tc>
        <w:tc>
          <w:tcPr>
            <w:tcW w:w="2000" w:type="dxa"/>
            <w:tcBorders>
              <w:top w:val="single" w:color="000000" w:sz="0" w:space="0"/>
              <w:left w:val="single" w:color="000000" w:sz="0" w:space="0"/>
              <w:bottom w:val="single" w:color="000000" w:sz="0" w:space="0"/>
              <w:right w:val="single" w:color="000000" w:sz="0" w:space="0"/>
            </w:tcBorders>
            <w:shd w:val="clear" w:color="auto" w:fill="D5E8F0"/>
          </w:tcPr>
          <w:p w14:paraId="434950FE">
            <w:pPr>
              <w:spacing w:line="300" w:lineRule="auto"/>
              <w:jc w:val="center"/>
            </w:pPr>
            <w:r>
              <w:rPr>
                <w:rFonts w:ascii="宋体" w:hAnsi="宋体" w:eastAsia="宋体" w:cs="宋体"/>
                <w:sz w:val="28"/>
                <w:szCs w:val="28"/>
              </w:rPr>
              <w:t>相关信息</w:t>
            </w:r>
          </w:p>
        </w:tc>
        <w:tc>
          <w:tcPr>
            <w:tcW w:w="1000" w:type="dxa"/>
            <w:tcBorders>
              <w:top w:val="single" w:color="000000" w:sz="0" w:space="0"/>
              <w:left w:val="single" w:color="000000" w:sz="0" w:space="0"/>
              <w:bottom w:val="single" w:color="000000" w:sz="0" w:space="0"/>
              <w:right w:val="single" w:color="000000" w:sz="0" w:space="0"/>
            </w:tcBorders>
            <w:shd w:val="clear" w:color="auto" w:fill="D5E8F0"/>
          </w:tcPr>
          <w:p w14:paraId="5EDFAA82">
            <w:pPr>
              <w:spacing w:line="300" w:lineRule="auto"/>
              <w:jc w:val="center"/>
            </w:pPr>
            <w:r>
              <w:rPr>
                <w:rFonts w:ascii="宋体" w:hAnsi="宋体" w:eastAsia="宋体" w:cs="宋体"/>
                <w:sz w:val="28"/>
                <w:szCs w:val="28"/>
              </w:rPr>
              <w:t>数量</w:t>
            </w:r>
          </w:p>
        </w:tc>
        <w:tc>
          <w:tcPr>
            <w:tcW w:w="1560" w:type="dxa"/>
            <w:tcBorders>
              <w:top w:val="single" w:color="000000" w:sz="0" w:space="0"/>
              <w:left w:val="single" w:color="000000" w:sz="0" w:space="0"/>
              <w:bottom w:val="single" w:color="000000" w:sz="0" w:space="0"/>
              <w:right w:val="single" w:color="000000" w:sz="0" w:space="0"/>
            </w:tcBorders>
            <w:shd w:val="clear" w:color="auto" w:fill="D5E8F0"/>
          </w:tcPr>
          <w:p w14:paraId="7FC1CF41">
            <w:pPr>
              <w:spacing w:line="300" w:lineRule="auto"/>
              <w:jc w:val="center"/>
            </w:pPr>
            <w:r>
              <w:rPr>
                <w:rFonts w:ascii="宋体" w:hAnsi="宋体" w:eastAsia="宋体" w:cs="宋体"/>
                <w:sz w:val="28"/>
                <w:szCs w:val="28"/>
              </w:rPr>
              <w:t>单价（元）</w:t>
            </w:r>
          </w:p>
        </w:tc>
        <w:tc>
          <w:tcPr>
            <w:tcW w:w="2000" w:type="dxa"/>
            <w:tcBorders>
              <w:top w:val="single" w:color="000000" w:sz="0" w:space="0"/>
              <w:left w:val="single" w:color="000000" w:sz="0" w:space="0"/>
              <w:bottom w:val="single" w:color="000000" w:sz="0" w:space="0"/>
              <w:right w:val="single" w:color="000000" w:sz="0" w:space="0"/>
            </w:tcBorders>
            <w:shd w:val="clear" w:color="auto" w:fill="D5E8F0"/>
          </w:tcPr>
          <w:p w14:paraId="502723ED">
            <w:pPr>
              <w:spacing w:line="300" w:lineRule="auto"/>
              <w:jc w:val="center"/>
            </w:pPr>
            <w:r>
              <w:rPr>
                <w:rFonts w:ascii="宋体" w:hAnsi="宋体" w:eastAsia="宋体" w:cs="宋体"/>
                <w:sz w:val="28"/>
                <w:szCs w:val="28"/>
              </w:rPr>
              <w:t>合计（元）</w:t>
            </w:r>
          </w:p>
        </w:tc>
      </w:tr>
      <w:tr w14:paraId="63DF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04B60BCC">
            <w:pPr>
              <w:spacing w:line="300" w:lineRule="auto"/>
              <w:jc w:val="center"/>
            </w:pPr>
            <w:r>
              <w:rPr>
                <w:rFonts w:ascii="宋体" w:hAnsi="宋体" w:eastAsia="宋体" w:cs="宋体"/>
                <w:sz w:val="28"/>
                <w:szCs w:val="28"/>
              </w:rPr>
              <w:t>1</w:t>
            </w:r>
          </w:p>
        </w:tc>
        <w:tc>
          <w:tcPr>
            <w:tcW w:w="2000" w:type="dxa"/>
            <w:tcBorders>
              <w:top w:val="single" w:color="000000" w:sz="0" w:space="0"/>
              <w:left w:val="single" w:color="000000" w:sz="0" w:space="0"/>
              <w:bottom w:val="single" w:color="000000" w:sz="0" w:space="0"/>
              <w:right w:val="single" w:color="000000" w:sz="0" w:space="0"/>
            </w:tcBorders>
          </w:tcPr>
          <w:p w14:paraId="10536DC9">
            <w:pPr>
              <w:spacing w:line="300" w:lineRule="auto"/>
              <w:jc w:val="left"/>
            </w:pPr>
            <w:r>
              <w:rPr>
                <w:rFonts w:ascii="宋体" w:hAnsi="宋体" w:eastAsia="宋体" w:cs="宋体"/>
                <w:sz w:val="28"/>
                <w:szCs w:val="28"/>
              </w:rPr>
              <w:t>需求梳理与方案编制</w:t>
            </w:r>
          </w:p>
        </w:tc>
        <w:tc>
          <w:tcPr>
            <w:tcW w:w="2000" w:type="dxa"/>
            <w:tcBorders>
              <w:top w:val="single" w:color="000000" w:sz="0" w:space="0"/>
              <w:left w:val="single" w:color="000000" w:sz="0" w:space="0"/>
              <w:bottom w:val="single" w:color="000000" w:sz="0" w:space="0"/>
              <w:right w:val="single" w:color="000000" w:sz="0" w:space="0"/>
            </w:tcBorders>
          </w:tcPr>
          <w:p w14:paraId="487F92BC">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38BF25CF">
            <w:pPr>
              <w:spacing w:line="300" w:lineRule="auto"/>
              <w:jc w:val="left"/>
            </w:pPr>
            <w:r>
              <w:rPr>
                <w:rFonts w:ascii="宋体" w:hAnsi="宋体" w:eastAsia="宋体" w:cs="宋体"/>
                <w:sz w:val="28"/>
                <w:szCs w:val="28"/>
              </w:rPr>
              <w:t>1项</w:t>
            </w:r>
          </w:p>
        </w:tc>
        <w:tc>
          <w:tcPr>
            <w:tcW w:w="1560" w:type="dxa"/>
            <w:tcBorders>
              <w:top w:val="single" w:color="000000" w:sz="0" w:space="0"/>
              <w:left w:val="single" w:color="000000" w:sz="0" w:space="0"/>
              <w:bottom w:val="single" w:color="000000" w:sz="0" w:space="0"/>
              <w:right w:val="single" w:color="000000" w:sz="0" w:space="0"/>
            </w:tcBorders>
          </w:tcPr>
          <w:p w14:paraId="34881FE7">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289952B6">
            <w:pPr>
              <w:spacing w:line="300" w:lineRule="auto"/>
              <w:jc w:val="left"/>
            </w:pPr>
          </w:p>
        </w:tc>
      </w:tr>
      <w:tr w14:paraId="4C9A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31B7ED37">
            <w:pPr>
              <w:spacing w:line="300" w:lineRule="auto"/>
              <w:jc w:val="center"/>
            </w:pPr>
            <w:r>
              <w:rPr>
                <w:rFonts w:ascii="宋体" w:hAnsi="宋体" w:eastAsia="宋体" w:cs="宋体"/>
                <w:sz w:val="28"/>
                <w:szCs w:val="28"/>
              </w:rPr>
              <w:t>2</w:t>
            </w:r>
          </w:p>
        </w:tc>
        <w:tc>
          <w:tcPr>
            <w:tcW w:w="2000" w:type="dxa"/>
            <w:tcBorders>
              <w:top w:val="single" w:color="000000" w:sz="0" w:space="0"/>
              <w:left w:val="single" w:color="000000" w:sz="0" w:space="0"/>
              <w:bottom w:val="single" w:color="000000" w:sz="0" w:space="0"/>
              <w:right w:val="single" w:color="000000" w:sz="0" w:space="0"/>
            </w:tcBorders>
          </w:tcPr>
          <w:p w14:paraId="1D8081EF">
            <w:pPr>
              <w:spacing w:line="300" w:lineRule="auto"/>
              <w:jc w:val="left"/>
            </w:pPr>
            <w:r>
              <w:rPr>
                <w:rFonts w:ascii="宋体" w:hAnsi="宋体" w:eastAsia="宋体" w:cs="宋体"/>
                <w:sz w:val="28"/>
                <w:szCs w:val="28"/>
              </w:rPr>
              <w:t>数据采集与集成开发</w:t>
            </w:r>
          </w:p>
        </w:tc>
        <w:tc>
          <w:tcPr>
            <w:tcW w:w="2000" w:type="dxa"/>
            <w:tcBorders>
              <w:top w:val="single" w:color="000000" w:sz="0" w:space="0"/>
              <w:left w:val="single" w:color="000000" w:sz="0" w:space="0"/>
              <w:bottom w:val="single" w:color="000000" w:sz="0" w:space="0"/>
              <w:right w:val="single" w:color="000000" w:sz="0" w:space="0"/>
            </w:tcBorders>
          </w:tcPr>
          <w:p w14:paraId="13766338">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1FC1E3DD">
            <w:pPr>
              <w:spacing w:line="300" w:lineRule="auto"/>
              <w:jc w:val="left"/>
            </w:pPr>
            <w:r>
              <w:rPr>
                <w:rFonts w:ascii="宋体" w:hAnsi="宋体" w:eastAsia="宋体" w:cs="宋体"/>
                <w:sz w:val="28"/>
                <w:szCs w:val="28"/>
              </w:rPr>
              <w:t>1项</w:t>
            </w:r>
          </w:p>
        </w:tc>
        <w:tc>
          <w:tcPr>
            <w:tcW w:w="1560" w:type="dxa"/>
            <w:tcBorders>
              <w:top w:val="single" w:color="000000" w:sz="0" w:space="0"/>
              <w:left w:val="single" w:color="000000" w:sz="0" w:space="0"/>
              <w:bottom w:val="single" w:color="000000" w:sz="0" w:space="0"/>
              <w:right w:val="single" w:color="000000" w:sz="0" w:space="0"/>
            </w:tcBorders>
          </w:tcPr>
          <w:p w14:paraId="5F59A300">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5816AA96">
            <w:pPr>
              <w:spacing w:line="300" w:lineRule="auto"/>
              <w:jc w:val="left"/>
            </w:pPr>
          </w:p>
        </w:tc>
      </w:tr>
      <w:tr w14:paraId="4F87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4B6978F1">
            <w:pPr>
              <w:spacing w:line="300" w:lineRule="auto"/>
              <w:jc w:val="center"/>
            </w:pPr>
            <w:r>
              <w:rPr>
                <w:rFonts w:ascii="宋体" w:hAnsi="宋体" w:eastAsia="宋体" w:cs="宋体"/>
                <w:sz w:val="28"/>
                <w:szCs w:val="28"/>
              </w:rPr>
              <w:t>3</w:t>
            </w:r>
          </w:p>
        </w:tc>
        <w:tc>
          <w:tcPr>
            <w:tcW w:w="2000" w:type="dxa"/>
            <w:tcBorders>
              <w:top w:val="single" w:color="000000" w:sz="0" w:space="0"/>
              <w:left w:val="single" w:color="000000" w:sz="0" w:space="0"/>
              <w:bottom w:val="single" w:color="000000" w:sz="0" w:space="0"/>
              <w:right w:val="single" w:color="000000" w:sz="0" w:space="0"/>
            </w:tcBorders>
          </w:tcPr>
          <w:p w14:paraId="0168DB19">
            <w:pPr>
              <w:spacing w:line="300" w:lineRule="auto"/>
              <w:jc w:val="left"/>
            </w:pPr>
            <w:r>
              <w:rPr>
                <w:rFonts w:ascii="宋体" w:hAnsi="宋体" w:eastAsia="宋体" w:cs="宋体"/>
                <w:sz w:val="28"/>
                <w:szCs w:val="28"/>
              </w:rPr>
              <w:t>API接口开发</w:t>
            </w:r>
          </w:p>
        </w:tc>
        <w:tc>
          <w:tcPr>
            <w:tcW w:w="2000" w:type="dxa"/>
            <w:tcBorders>
              <w:top w:val="single" w:color="000000" w:sz="0" w:space="0"/>
              <w:left w:val="single" w:color="000000" w:sz="0" w:space="0"/>
              <w:bottom w:val="single" w:color="000000" w:sz="0" w:space="0"/>
              <w:right w:val="single" w:color="000000" w:sz="0" w:space="0"/>
            </w:tcBorders>
          </w:tcPr>
          <w:p w14:paraId="39C6028E">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1DC11DE6">
            <w:pPr>
              <w:spacing w:line="300" w:lineRule="auto"/>
              <w:jc w:val="left"/>
            </w:pPr>
            <w:r>
              <w:rPr>
                <w:rFonts w:ascii="宋体" w:hAnsi="宋体" w:eastAsia="宋体" w:cs="宋体"/>
                <w:sz w:val="28"/>
                <w:szCs w:val="28"/>
              </w:rPr>
              <w:t>1项</w:t>
            </w:r>
          </w:p>
        </w:tc>
        <w:tc>
          <w:tcPr>
            <w:tcW w:w="1560" w:type="dxa"/>
            <w:tcBorders>
              <w:top w:val="single" w:color="000000" w:sz="0" w:space="0"/>
              <w:left w:val="single" w:color="000000" w:sz="0" w:space="0"/>
              <w:bottom w:val="single" w:color="000000" w:sz="0" w:space="0"/>
              <w:right w:val="single" w:color="000000" w:sz="0" w:space="0"/>
            </w:tcBorders>
          </w:tcPr>
          <w:p w14:paraId="6E31A917">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0CDBEF07">
            <w:pPr>
              <w:spacing w:line="300" w:lineRule="auto"/>
              <w:jc w:val="left"/>
            </w:pPr>
          </w:p>
        </w:tc>
      </w:tr>
      <w:tr w14:paraId="2CEC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4F3D681F">
            <w:pPr>
              <w:spacing w:line="300" w:lineRule="auto"/>
              <w:jc w:val="center"/>
            </w:pPr>
            <w:r>
              <w:rPr>
                <w:rFonts w:ascii="宋体" w:hAnsi="宋体" w:eastAsia="宋体" w:cs="宋体"/>
                <w:sz w:val="28"/>
                <w:szCs w:val="28"/>
              </w:rPr>
              <w:t>4</w:t>
            </w:r>
          </w:p>
        </w:tc>
        <w:tc>
          <w:tcPr>
            <w:tcW w:w="2000" w:type="dxa"/>
            <w:tcBorders>
              <w:top w:val="single" w:color="000000" w:sz="0" w:space="0"/>
              <w:left w:val="single" w:color="000000" w:sz="0" w:space="0"/>
              <w:bottom w:val="single" w:color="000000" w:sz="0" w:space="0"/>
              <w:right w:val="single" w:color="000000" w:sz="0" w:space="0"/>
            </w:tcBorders>
          </w:tcPr>
          <w:p w14:paraId="6C61A9D2">
            <w:pPr>
              <w:spacing w:line="300" w:lineRule="auto"/>
              <w:jc w:val="left"/>
            </w:pPr>
            <w:r>
              <w:rPr>
                <w:rFonts w:ascii="宋体" w:hAnsi="宋体" w:eastAsia="宋体" w:cs="宋体"/>
                <w:sz w:val="28"/>
                <w:szCs w:val="28"/>
              </w:rPr>
              <w:t>全流程联调测试</w:t>
            </w:r>
          </w:p>
        </w:tc>
        <w:tc>
          <w:tcPr>
            <w:tcW w:w="2000" w:type="dxa"/>
            <w:tcBorders>
              <w:top w:val="single" w:color="000000" w:sz="0" w:space="0"/>
              <w:left w:val="single" w:color="000000" w:sz="0" w:space="0"/>
              <w:bottom w:val="single" w:color="000000" w:sz="0" w:space="0"/>
              <w:right w:val="single" w:color="000000" w:sz="0" w:space="0"/>
            </w:tcBorders>
          </w:tcPr>
          <w:p w14:paraId="6ADE5274">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405BE168">
            <w:pPr>
              <w:spacing w:line="300" w:lineRule="auto"/>
              <w:jc w:val="left"/>
            </w:pPr>
            <w:r>
              <w:rPr>
                <w:rFonts w:ascii="宋体" w:hAnsi="宋体" w:eastAsia="宋体" w:cs="宋体"/>
                <w:sz w:val="28"/>
                <w:szCs w:val="28"/>
              </w:rPr>
              <w:t>1项</w:t>
            </w:r>
          </w:p>
        </w:tc>
        <w:tc>
          <w:tcPr>
            <w:tcW w:w="1560" w:type="dxa"/>
            <w:tcBorders>
              <w:top w:val="single" w:color="000000" w:sz="0" w:space="0"/>
              <w:left w:val="single" w:color="000000" w:sz="0" w:space="0"/>
              <w:bottom w:val="single" w:color="000000" w:sz="0" w:space="0"/>
              <w:right w:val="single" w:color="000000" w:sz="0" w:space="0"/>
            </w:tcBorders>
          </w:tcPr>
          <w:p w14:paraId="1568A6FE">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7AB90F54">
            <w:pPr>
              <w:spacing w:line="300" w:lineRule="auto"/>
              <w:jc w:val="left"/>
            </w:pPr>
          </w:p>
        </w:tc>
      </w:tr>
      <w:tr w14:paraId="5696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44CE1327">
            <w:pPr>
              <w:spacing w:line="300" w:lineRule="auto"/>
              <w:jc w:val="center"/>
            </w:pPr>
          </w:p>
        </w:tc>
        <w:tc>
          <w:tcPr>
            <w:tcW w:w="2000" w:type="dxa"/>
            <w:tcBorders>
              <w:top w:val="single" w:color="000000" w:sz="0" w:space="0"/>
              <w:left w:val="single" w:color="000000" w:sz="0" w:space="0"/>
              <w:bottom w:val="single" w:color="000000" w:sz="0" w:space="0"/>
              <w:right w:val="single" w:color="000000" w:sz="0" w:space="0"/>
            </w:tcBorders>
          </w:tcPr>
          <w:p w14:paraId="50317F34">
            <w:pPr>
              <w:spacing w:line="300" w:lineRule="auto"/>
              <w:jc w:val="left"/>
            </w:pPr>
            <w:r>
              <w:rPr>
                <w:rFonts w:ascii="宋体" w:hAnsi="宋体" w:eastAsia="宋体" w:cs="宋体"/>
                <w:sz w:val="28"/>
                <w:szCs w:val="28"/>
              </w:rPr>
              <w:t>……</w:t>
            </w:r>
          </w:p>
        </w:tc>
        <w:tc>
          <w:tcPr>
            <w:tcW w:w="2000" w:type="dxa"/>
            <w:tcBorders>
              <w:top w:val="single" w:color="000000" w:sz="0" w:space="0"/>
              <w:left w:val="single" w:color="000000" w:sz="0" w:space="0"/>
              <w:bottom w:val="single" w:color="000000" w:sz="0" w:space="0"/>
              <w:right w:val="single" w:color="000000" w:sz="0" w:space="0"/>
            </w:tcBorders>
          </w:tcPr>
          <w:p w14:paraId="6B505ED2">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444BC0D8">
            <w:pPr>
              <w:spacing w:line="300" w:lineRule="auto"/>
              <w:jc w:val="left"/>
            </w:pPr>
            <w:r>
              <w:rPr>
                <w:rFonts w:ascii="宋体" w:hAnsi="宋体" w:eastAsia="宋体" w:cs="宋体"/>
                <w:sz w:val="28"/>
                <w:szCs w:val="28"/>
              </w:rPr>
              <w:t>/</w:t>
            </w:r>
          </w:p>
        </w:tc>
        <w:tc>
          <w:tcPr>
            <w:tcW w:w="1560" w:type="dxa"/>
            <w:tcBorders>
              <w:top w:val="single" w:color="000000" w:sz="0" w:space="0"/>
              <w:left w:val="single" w:color="000000" w:sz="0" w:space="0"/>
              <w:bottom w:val="single" w:color="000000" w:sz="0" w:space="0"/>
              <w:right w:val="single" w:color="000000" w:sz="0" w:space="0"/>
            </w:tcBorders>
          </w:tcPr>
          <w:p w14:paraId="0D3C50C6">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2E6A5874">
            <w:pPr>
              <w:spacing w:line="300" w:lineRule="auto"/>
              <w:jc w:val="left"/>
            </w:pPr>
          </w:p>
        </w:tc>
      </w:tr>
      <w:tr w14:paraId="27E2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1D01569D">
            <w:pPr>
              <w:spacing w:line="300" w:lineRule="auto"/>
              <w:jc w:val="center"/>
            </w:pPr>
          </w:p>
        </w:tc>
        <w:tc>
          <w:tcPr>
            <w:tcW w:w="2000" w:type="dxa"/>
            <w:tcBorders>
              <w:top w:val="single" w:color="000000" w:sz="0" w:space="0"/>
              <w:left w:val="single" w:color="000000" w:sz="0" w:space="0"/>
              <w:bottom w:val="single" w:color="000000" w:sz="0" w:space="0"/>
              <w:right w:val="single" w:color="000000" w:sz="0" w:space="0"/>
            </w:tcBorders>
          </w:tcPr>
          <w:p w14:paraId="23C90EE4">
            <w:pPr>
              <w:spacing w:line="300" w:lineRule="auto"/>
              <w:jc w:val="left"/>
            </w:pPr>
            <w:r>
              <w:rPr>
                <w:rFonts w:ascii="宋体" w:hAnsi="宋体" w:eastAsia="宋体" w:cs="宋体"/>
                <w:sz w:val="28"/>
                <w:szCs w:val="28"/>
              </w:rPr>
              <w:t>总计</w:t>
            </w:r>
          </w:p>
        </w:tc>
        <w:tc>
          <w:tcPr>
            <w:tcW w:w="2000" w:type="dxa"/>
            <w:tcBorders>
              <w:top w:val="single" w:color="000000" w:sz="0" w:space="0"/>
              <w:left w:val="single" w:color="000000" w:sz="0" w:space="0"/>
              <w:bottom w:val="single" w:color="000000" w:sz="0" w:space="0"/>
              <w:right w:val="single" w:color="000000" w:sz="0" w:space="0"/>
            </w:tcBorders>
          </w:tcPr>
          <w:p w14:paraId="49BE1AD6">
            <w:pPr>
              <w:spacing w:line="300" w:lineRule="auto"/>
              <w:jc w:val="left"/>
            </w:pPr>
          </w:p>
        </w:tc>
        <w:tc>
          <w:tcPr>
            <w:tcW w:w="1000" w:type="dxa"/>
            <w:tcBorders>
              <w:top w:val="single" w:color="000000" w:sz="0" w:space="0"/>
              <w:left w:val="single" w:color="000000" w:sz="0" w:space="0"/>
              <w:bottom w:val="single" w:color="000000" w:sz="0" w:space="0"/>
              <w:right w:val="single" w:color="000000" w:sz="0" w:space="0"/>
            </w:tcBorders>
          </w:tcPr>
          <w:p w14:paraId="65A044A1">
            <w:pPr>
              <w:spacing w:line="300" w:lineRule="auto"/>
              <w:jc w:val="left"/>
            </w:pPr>
          </w:p>
        </w:tc>
        <w:tc>
          <w:tcPr>
            <w:tcW w:w="1560" w:type="dxa"/>
            <w:tcBorders>
              <w:top w:val="single" w:color="000000" w:sz="0" w:space="0"/>
              <w:left w:val="single" w:color="000000" w:sz="0" w:space="0"/>
              <w:bottom w:val="single" w:color="000000" w:sz="0" w:space="0"/>
              <w:right w:val="single" w:color="000000" w:sz="0" w:space="0"/>
            </w:tcBorders>
          </w:tcPr>
          <w:p w14:paraId="6070E78E">
            <w:pPr>
              <w:spacing w:line="300" w:lineRule="auto"/>
              <w:jc w:val="left"/>
            </w:pPr>
          </w:p>
        </w:tc>
        <w:tc>
          <w:tcPr>
            <w:tcW w:w="2000" w:type="dxa"/>
            <w:tcBorders>
              <w:top w:val="single" w:color="000000" w:sz="0" w:space="0"/>
              <w:left w:val="single" w:color="000000" w:sz="0" w:space="0"/>
              <w:bottom w:val="single" w:color="000000" w:sz="0" w:space="0"/>
              <w:right w:val="single" w:color="000000" w:sz="0" w:space="0"/>
            </w:tcBorders>
          </w:tcPr>
          <w:p w14:paraId="32FB1BF6">
            <w:pPr>
              <w:spacing w:line="300" w:lineRule="auto"/>
              <w:jc w:val="left"/>
            </w:pPr>
          </w:p>
        </w:tc>
      </w:tr>
    </w:tbl>
    <w:p w14:paraId="131A4778">
      <w:pPr>
        <w:spacing w:line="360" w:lineRule="auto"/>
      </w:pPr>
    </w:p>
    <w:p w14:paraId="76D972CA">
      <w:pPr>
        <w:pStyle w:val="3"/>
        <w:spacing w:before="160" w:after="80" w:line="360" w:lineRule="auto"/>
      </w:pPr>
      <w:r>
        <w:rPr>
          <w:rFonts w:ascii="黑体" w:hAnsi="黑体" w:eastAsia="黑体" w:cs="黑体"/>
          <w:b/>
          <w:bCs/>
          <w:sz w:val="32"/>
          <w:szCs w:val="32"/>
        </w:rPr>
        <w:t>服务响应偏离表格式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9"/>
        <w:gridCol w:w="2777"/>
        <w:gridCol w:w="2777"/>
        <w:gridCol w:w="2373"/>
      </w:tblGrid>
      <w:tr w14:paraId="6494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000000" w:sz="0" w:space="0"/>
              <w:left w:val="single" w:color="000000" w:sz="0" w:space="0"/>
              <w:bottom w:val="single" w:color="000000" w:sz="0" w:space="0"/>
              <w:right w:val="single" w:color="000000" w:sz="0" w:space="0"/>
            </w:tcBorders>
            <w:shd w:val="clear" w:color="auto" w:fill="D5E8F0"/>
          </w:tcPr>
          <w:p w14:paraId="7BB2402C">
            <w:pPr>
              <w:spacing w:line="300" w:lineRule="auto"/>
              <w:jc w:val="center"/>
            </w:pPr>
            <w:r>
              <w:rPr>
                <w:rFonts w:ascii="宋体" w:hAnsi="宋体" w:eastAsia="宋体" w:cs="宋体"/>
                <w:sz w:val="28"/>
                <w:szCs w:val="28"/>
              </w:rPr>
              <w:t>序号</w:t>
            </w:r>
          </w:p>
        </w:tc>
        <w:tc>
          <w:tcPr>
            <w:tcW w:w="3000" w:type="dxa"/>
            <w:tcBorders>
              <w:top w:val="single" w:color="000000" w:sz="0" w:space="0"/>
              <w:left w:val="single" w:color="000000" w:sz="0" w:space="0"/>
              <w:bottom w:val="single" w:color="000000" w:sz="0" w:space="0"/>
              <w:right w:val="single" w:color="000000" w:sz="0" w:space="0"/>
            </w:tcBorders>
            <w:shd w:val="clear" w:color="auto" w:fill="D5E8F0"/>
          </w:tcPr>
          <w:p w14:paraId="261D9417">
            <w:pPr>
              <w:spacing w:line="300" w:lineRule="auto"/>
              <w:jc w:val="center"/>
            </w:pPr>
            <w:r>
              <w:rPr>
                <w:rFonts w:ascii="宋体" w:hAnsi="宋体" w:eastAsia="宋体" w:cs="宋体"/>
                <w:sz w:val="28"/>
                <w:szCs w:val="28"/>
              </w:rPr>
              <w:t>采购项目服务要求</w:t>
            </w:r>
          </w:p>
        </w:tc>
        <w:tc>
          <w:tcPr>
            <w:tcW w:w="3000" w:type="dxa"/>
            <w:tcBorders>
              <w:top w:val="single" w:color="000000" w:sz="0" w:space="0"/>
              <w:left w:val="single" w:color="000000" w:sz="0" w:space="0"/>
              <w:bottom w:val="single" w:color="000000" w:sz="0" w:space="0"/>
              <w:right w:val="single" w:color="000000" w:sz="0" w:space="0"/>
            </w:tcBorders>
            <w:shd w:val="clear" w:color="auto" w:fill="D5E8F0"/>
          </w:tcPr>
          <w:p w14:paraId="40089243">
            <w:pPr>
              <w:spacing w:line="300" w:lineRule="auto"/>
              <w:jc w:val="center"/>
            </w:pPr>
            <w:r>
              <w:rPr>
                <w:rFonts w:ascii="宋体" w:hAnsi="宋体" w:eastAsia="宋体" w:cs="宋体"/>
                <w:sz w:val="28"/>
                <w:szCs w:val="28"/>
              </w:rPr>
              <w:t>响应情况</w:t>
            </w:r>
          </w:p>
        </w:tc>
        <w:tc>
          <w:tcPr>
            <w:tcW w:w="2560" w:type="dxa"/>
            <w:tcBorders>
              <w:top w:val="single" w:color="000000" w:sz="0" w:space="0"/>
              <w:left w:val="single" w:color="000000" w:sz="0" w:space="0"/>
              <w:bottom w:val="single" w:color="000000" w:sz="0" w:space="0"/>
              <w:right w:val="single" w:color="000000" w:sz="0" w:space="0"/>
            </w:tcBorders>
            <w:shd w:val="clear" w:color="auto" w:fill="D5E8F0"/>
          </w:tcPr>
          <w:p w14:paraId="203E2248">
            <w:pPr>
              <w:spacing w:line="300" w:lineRule="auto"/>
              <w:jc w:val="center"/>
            </w:pPr>
            <w:r>
              <w:rPr>
                <w:rFonts w:ascii="宋体" w:hAnsi="宋体" w:eastAsia="宋体" w:cs="宋体"/>
                <w:sz w:val="28"/>
                <w:szCs w:val="28"/>
              </w:rPr>
              <w:t>差异说明</w:t>
            </w:r>
          </w:p>
        </w:tc>
      </w:tr>
      <w:tr w14:paraId="6142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0EC6AAA6">
            <w:pPr>
              <w:spacing w:line="300" w:lineRule="auto"/>
              <w:jc w:val="center"/>
            </w:pPr>
          </w:p>
        </w:tc>
        <w:tc>
          <w:tcPr>
            <w:tcW w:w="3000" w:type="dxa"/>
            <w:tcBorders>
              <w:top w:val="single" w:color="000000" w:sz="0" w:space="0"/>
              <w:left w:val="single" w:color="000000" w:sz="0" w:space="0"/>
              <w:bottom w:val="single" w:color="000000" w:sz="0" w:space="0"/>
              <w:right w:val="single" w:color="000000" w:sz="0" w:space="0"/>
            </w:tcBorders>
          </w:tcPr>
          <w:p w14:paraId="2E3095E1">
            <w:pPr>
              <w:spacing w:line="300" w:lineRule="auto"/>
              <w:jc w:val="left"/>
            </w:pPr>
          </w:p>
        </w:tc>
        <w:tc>
          <w:tcPr>
            <w:tcW w:w="3000" w:type="dxa"/>
            <w:tcBorders>
              <w:top w:val="single" w:color="000000" w:sz="0" w:space="0"/>
              <w:left w:val="single" w:color="000000" w:sz="0" w:space="0"/>
              <w:bottom w:val="single" w:color="000000" w:sz="0" w:space="0"/>
              <w:right w:val="single" w:color="000000" w:sz="0" w:space="0"/>
            </w:tcBorders>
          </w:tcPr>
          <w:p w14:paraId="271BBB21">
            <w:pPr>
              <w:spacing w:line="300" w:lineRule="auto"/>
              <w:jc w:val="left"/>
            </w:pPr>
          </w:p>
        </w:tc>
        <w:tc>
          <w:tcPr>
            <w:tcW w:w="2560" w:type="dxa"/>
            <w:tcBorders>
              <w:top w:val="single" w:color="000000" w:sz="0" w:space="0"/>
              <w:left w:val="single" w:color="000000" w:sz="0" w:space="0"/>
              <w:bottom w:val="single" w:color="000000" w:sz="0" w:space="0"/>
              <w:right w:val="single" w:color="000000" w:sz="0" w:space="0"/>
            </w:tcBorders>
          </w:tcPr>
          <w:p w14:paraId="0709FC18">
            <w:pPr>
              <w:spacing w:line="300" w:lineRule="auto"/>
              <w:jc w:val="left"/>
            </w:pPr>
          </w:p>
        </w:tc>
      </w:tr>
    </w:tbl>
    <w:p w14:paraId="3D8CDD90">
      <w:pPr>
        <w:spacing w:line="360" w:lineRule="auto"/>
      </w:pPr>
    </w:p>
    <w:p w14:paraId="07DF2230">
      <w:pPr>
        <w:pStyle w:val="3"/>
        <w:spacing w:before="160" w:after="80" w:line="360" w:lineRule="auto"/>
      </w:pPr>
      <w:r>
        <w:rPr>
          <w:rFonts w:ascii="黑体" w:hAnsi="黑体" w:eastAsia="黑体" w:cs="黑体"/>
          <w:b/>
          <w:bCs/>
          <w:sz w:val="32"/>
          <w:szCs w:val="32"/>
        </w:rPr>
        <w:t>商务响应偏离表格式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9"/>
        <w:gridCol w:w="2777"/>
        <w:gridCol w:w="2777"/>
        <w:gridCol w:w="2373"/>
      </w:tblGrid>
      <w:tr w14:paraId="135C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00" w:type="dxa"/>
            <w:tcBorders>
              <w:top w:val="single" w:color="000000" w:sz="0" w:space="0"/>
              <w:left w:val="single" w:color="000000" w:sz="0" w:space="0"/>
              <w:bottom w:val="single" w:color="000000" w:sz="0" w:space="0"/>
              <w:right w:val="single" w:color="000000" w:sz="0" w:space="0"/>
            </w:tcBorders>
            <w:shd w:val="clear" w:color="auto" w:fill="D5E8F0"/>
          </w:tcPr>
          <w:p w14:paraId="505E6FED">
            <w:pPr>
              <w:spacing w:line="300" w:lineRule="auto"/>
              <w:jc w:val="center"/>
            </w:pPr>
            <w:r>
              <w:rPr>
                <w:rFonts w:ascii="宋体" w:hAnsi="宋体" w:eastAsia="宋体" w:cs="宋体"/>
                <w:sz w:val="28"/>
                <w:szCs w:val="28"/>
              </w:rPr>
              <w:t>序号</w:t>
            </w:r>
          </w:p>
        </w:tc>
        <w:tc>
          <w:tcPr>
            <w:tcW w:w="3000" w:type="dxa"/>
            <w:tcBorders>
              <w:top w:val="single" w:color="000000" w:sz="0" w:space="0"/>
              <w:left w:val="single" w:color="000000" w:sz="0" w:space="0"/>
              <w:bottom w:val="single" w:color="000000" w:sz="0" w:space="0"/>
              <w:right w:val="single" w:color="000000" w:sz="0" w:space="0"/>
            </w:tcBorders>
            <w:shd w:val="clear" w:color="auto" w:fill="D5E8F0"/>
          </w:tcPr>
          <w:p w14:paraId="0D58DAFA">
            <w:pPr>
              <w:spacing w:line="300" w:lineRule="auto"/>
              <w:jc w:val="center"/>
            </w:pPr>
            <w:r>
              <w:rPr>
                <w:rFonts w:ascii="宋体" w:hAnsi="宋体" w:eastAsia="宋体" w:cs="宋体"/>
                <w:sz w:val="28"/>
                <w:szCs w:val="28"/>
              </w:rPr>
              <w:t>采购项目商务要求</w:t>
            </w:r>
          </w:p>
        </w:tc>
        <w:tc>
          <w:tcPr>
            <w:tcW w:w="3000" w:type="dxa"/>
            <w:tcBorders>
              <w:top w:val="single" w:color="000000" w:sz="0" w:space="0"/>
              <w:left w:val="single" w:color="000000" w:sz="0" w:space="0"/>
              <w:bottom w:val="single" w:color="000000" w:sz="0" w:space="0"/>
              <w:right w:val="single" w:color="000000" w:sz="0" w:space="0"/>
            </w:tcBorders>
            <w:shd w:val="clear" w:color="auto" w:fill="D5E8F0"/>
          </w:tcPr>
          <w:p w14:paraId="3155B2B3">
            <w:pPr>
              <w:spacing w:line="300" w:lineRule="auto"/>
              <w:jc w:val="center"/>
            </w:pPr>
            <w:r>
              <w:rPr>
                <w:rFonts w:ascii="宋体" w:hAnsi="宋体" w:eastAsia="宋体" w:cs="宋体"/>
                <w:sz w:val="28"/>
                <w:szCs w:val="28"/>
              </w:rPr>
              <w:t>响应情况</w:t>
            </w:r>
          </w:p>
        </w:tc>
        <w:tc>
          <w:tcPr>
            <w:tcW w:w="2560" w:type="dxa"/>
            <w:tcBorders>
              <w:top w:val="single" w:color="000000" w:sz="0" w:space="0"/>
              <w:left w:val="single" w:color="000000" w:sz="0" w:space="0"/>
              <w:bottom w:val="single" w:color="000000" w:sz="0" w:space="0"/>
              <w:right w:val="single" w:color="000000" w:sz="0" w:space="0"/>
            </w:tcBorders>
            <w:shd w:val="clear" w:color="auto" w:fill="D5E8F0"/>
          </w:tcPr>
          <w:p w14:paraId="0B411B44">
            <w:pPr>
              <w:spacing w:line="300" w:lineRule="auto"/>
              <w:jc w:val="center"/>
            </w:pPr>
            <w:r>
              <w:rPr>
                <w:rFonts w:ascii="宋体" w:hAnsi="宋体" w:eastAsia="宋体" w:cs="宋体"/>
                <w:sz w:val="28"/>
                <w:szCs w:val="28"/>
              </w:rPr>
              <w:t>差异说明</w:t>
            </w:r>
          </w:p>
        </w:tc>
      </w:tr>
      <w:tr w14:paraId="3BCE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0" w:type="dxa"/>
            <w:tcBorders>
              <w:top w:val="single" w:color="000000" w:sz="0" w:space="0"/>
              <w:left w:val="single" w:color="000000" w:sz="0" w:space="0"/>
              <w:bottom w:val="single" w:color="000000" w:sz="0" w:space="0"/>
              <w:right w:val="single" w:color="000000" w:sz="0" w:space="0"/>
            </w:tcBorders>
          </w:tcPr>
          <w:p w14:paraId="7E7DD972">
            <w:pPr>
              <w:spacing w:line="300" w:lineRule="auto"/>
              <w:jc w:val="center"/>
            </w:pPr>
          </w:p>
        </w:tc>
        <w:tc>
          <w:tcPr>
            <w:tcW w:w="3000" w:type="dxa"/>
            <w:tcBorders>
              <w:top w:val="single" w:color="000000" w:sz="0" w:space="0"/>
              <w:left w:val="single" w:color="000000" w:sz="0" w:space="0"/>
              <w:bottom w:val="single" w:color="000000" w:sz="0" w:space="0"/>
              <w:right w:val="single" w:color="000000" w:sz="0" w:space="0"/>
            </w:tcBorders>
          </w:tcPr>
          <w:p w14:paraId="7FE942B7">
            <w:pPr>
              <w:spacing w:line="300" w:lineRule="auto"/>
              <w:jc w:val="left"/>
            </w:pPr>
          </w:p>
        </w:tc>
        <w:tc>
          <w:tcPr>
            <w:tcW w:w="3000" w:type="dxa"/>
            <w:tcBorders>
              <w:top w:val="single" w:color="000000" w:sz="0" w:space="0"/>
              <w:left w:val="single" w:color="000000" w:sz="0" w:space="0"/>
              <w:bottom w:val="single" w:color="000000" w:sz="0" w:space="0"/>
              <w:right w:val="single" w:color="000000" w:sz="0" w:space="0"/>
            </w:tcBorders>
          </w:tcPr>
          <w:p w14:paraId="34C8E536">
            <w:pPr>
              <w:spacing w:line="300" w:lineRule="auto"/>
              <w:jc w:val="left"/>
            </w:pPr>
          </w:p>
        </w:tc>
        <w:tc>
          <w:tcPr>
            <w:tcW w:w="2560" w:type="dxa"/>
            <w:tcBorders>
              <w:top w:val="single" w:color="000000" w:sz="0" w:space="0"/>
              <w:left w:val="single" w:color="000000" w:sz="0" w:space="0"/>
              <w:bottom w:val="single" w:color="000000" w:sz="0" w:space="0"/>
              <w:right w:val="single" w:color="000000" w:sz="0" w:space="0"/>
            </w:tcBorders>
          </w:tcPr>
          <w:p w14:paraId="4FE31351">
            <w:pPr>
              <w:spacing w:line="300" w:lineRule="auto"/>
              <w:jc w:val="left"/>
            </w:pPr>
          </w:p>
        </w:tc>
      </w:tr>
    </w:tbl>
    <w:p w14:paraId="7AAE36F0"/>
    <w:sectPr>
      <w:headerReference r:id="rId3" w:type="default"/>
      <w:footerReference r:id="rId4" w:type="default"/>
      <w:pgSz w:w="11906" w:h="16838"/>
      <w:pgMar w:top="1440" w:right="1440" w:bottom="1440" w:left="18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CA884">
    <w:pPr>
      <w:jc w:val="center"/>
    </w:pPr>
    <w:r>
      <w:rPr>
        <w:rFonts w:ascii="宋体" w:hAnsi="宋体" w:eastAsia="宋体" w:cs="宋体"/>
        <w:sz w:val="20"/>
        <w:szCs w:val="20"/>
      </w:rPr>
      <w:t xml:space="preserve">第 </w:t>
    </w:r>
    <w:r>
      <w:rPr>
        <w:rFonts w:ascii="宋体" w:hAnsi="宋体" w:eastAsia="宋体" w:cs="宋体"/>
        <w:sz w:val="20"/>
        <w:szCs w:val="20"/>
      </w:rPr>
      <w:fldChar w:fldCharType="begin"/>
    </w:r>
    <w:r>
      <w:rPr>
        <w:rFonts w:ascii="宋体" w:hAnsi="宋体" w:eastAsia="宋体" w:cs="宋体"/>
        <w:sz w:val="20"/>
        <w:szCs w:val="20"/>
      </w:rPr>
      <w:instrText xml:space="preserve">PAGE</w:instrText>
    </w:r>
    <w:r>
      <w:rPr>
        <w:rFonts w:ascii="宋体" w:hAnsi="宋体" w:eastAsia="宋体" w:cs="宋体"/>
        <w:sz w:val="20"/>
        <w:szCs w:val="20"/>
      </w:rPr>
      <w:fldChar w:fldCharType="separate"/>
    </w:r>
    <w:r>
      <w:rPr>
        <w:rFonts w:ascii="宋体" w:hAnsi="宋体" w:eastAsia="宋体" w:cs="宋体"/>
        <w:sz w:val="20"/>
        <w:szCs w:val="20"/>
      </w:rPr>
      <w:fldChar w:fldCharType="end"/>
    </w:r>
    <w:r>
      <w:rPr>
        <w:rFonts w:ascii="宋体" w:hAnsi="宋体" w:eastAsia="宋体" w:cs="宋体"/>
        <w:sz w:val="20"/>
        <w:szCs w:val="20"/>
      </w:rPr>
      <w:t xml:space="preserve"> 页，共 </w:t>
    </w:r>
    <w:r>
      <w:rPr>
        <w:rFonts w:ascii="宋体" w:hAnsi="宋体" w:eastAsia="宋体" w:cs="宋体"/>
        <w:sz w:val="20"/>
        <w:szCs w:val="20"/>
      </w:rPr>
      <w:fldChar w:fldCharType="begin"/>
    </w:r>
    <w:r>
      <w:rPr>
        <w:rFonts w:ascii="宋体" w:hAnsi="宋体" w:eastAsia="宋体" w:cs="宋体"/>
        <w:sz w:val="20"/>
        <w:szCs w:val="20"/>
      </w:rPr>
      <w:instrText xml:space="preserve">NUMPAGES</w:instrText>
    </w:r>
    <w:r>
      <w:rPr>
        <w:rFonts w:ascii="宋体" w:hAnsi="宋体" w:eastAsia="宋体" w:cs="宋体"/>
        <w:sz w:val="20"/>
        <w:szCs w:val="20"/>
      </w:rPr>
      <w:fldChar w:fldCharType="separate"/>
    </w:r>
    <w:r>
      <w:rPr>
        <w:rFonts w:ascii="宋体" w:hAnsi="宋体" w:eastAsia="宋体" w:cs="宋体"/>
        <w:sz w:val="20"/>
        <w:szCs w:val="20"/>
      </w:rPr>
      <w:fldChar w:fldCharType="end"/>
    </w:r>
    <w:r>
      <w:rPr>
        <w:rFonts w:ascii="宋体" w:hAnsi="宋体" w:eastAsia="宋体" w:cs="宋体"/>
        <w:sz w:val="20"/>
        <w:szCs w:val="20"/>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B0A4">
    <w:pPr>
      <w:jc w:val="center"/>
    </w:pPr>
    <w:r>
      <w:rPr>
        <w:rFonts w:ascii="宋体" w:hAnsi="宋体" w:eastAsia="宋体" w:cs="宋体"/>
        <w:color w:val="888888"/>
        <w:sz w:val="20"/>
        <w:szCs w:val="20"/>
      </w:rPr>
      <w:t>传染病接口改造服务项目竞争性比选文件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0341483B"/>
    <w:rsid w:val="276C4FA7"/>
    <w:rsid w:val="3EC15781"/>
    <w:rsid w:val="481E6443"/>
    <w:rsid w:val="568A114B"/>
    <w:rsid w:val="68E123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32"/>
      <w:szCs w:val="32"/>
    </w:rPr>
  </w:style>
  <w:style w:type="paragraph" w:styleId="2">
    <w:name w:val="heading 1"/>
    <w:next w:val="1"/>
    <w:qFormat/>
    <w:uiPriority w:val="0"/>
    <w:pPr>
      <w:spacing w:before="240" w:after="120"/>
      <w:jc w:val="center"/>
      <w:outlineLvl w:val="0"/>
    </w:pPr>
    <w:rPr>
      <w:rFonts w:ascii="黑体" w:hAnsi="黑体" w:eastAsia="黑体" w:cs="黑体"/>
      <w:b/>
      <w:bCs/>
      <w:color w:val="000000"/>
      <w:sz w:val="44"/>
      <w:szCs w:val="44"/>
    </w:rPr>
  </w:style>
  <w:style w:type="paragraph" w:styleId="3">
    <w:name w:val="heading 2"/>
    <w:next w:val="1"/>
    <w:qFormat/>
    <w:uiPriority w:val="0"/>
    <w:pPr>
      <w:spacing w:before="160" w:after="80"/>
      <w:outlineLvl w:val="1"/>
    </w:pPr>
    <w:rPr>
      <w:rFonts w:ascii="黑体" w:hAnsi="黑体" w:eastAsia="黑体" w:cs="黑体"/>
      <w:b/>
      <w:bCs/>
      <w:color w:val="000000"/>
      <w:sz w:val="32"/>
      <w:szCs w:val="32"/>
    </w:rPr>
  </w:style>
  <w:style w:type="paragraph" w:styleId="4">
    <w:name w:val="heading 3"/>
    <w:next w:val="1"/>
    <w:qFormat/>
    <w:uiPriority w:val="0"/>
    <w:pPr>
      <w:spacing w:before="120" w:after="60"/>
      <w:outlineLvl w:val="2"/>
    </w:pPr>
    <w:rPr>
      <w:rFonts w:ascii="黑体" w:hAnsi="黑体" w:eastAsia="黑体" w:cs="黑体"/>
      <w:b/>
      <w:bCs/>
      <w:color w:val="000000"/>
      <w:sz w:val="28"/>
      <w:szCs w:val="28"/>
    </w:rPr>
  </w:style>
  <w:style w:type="paragraph" w:styleId="5">
    <w:name w:val="heading 4"/>
    <w:next w:val="1"/>
    <w:qFormat/>
    <w:uiPriority w:val="0"/>
    <w:rPr>
      <w:rFonts w:ascii="宋体" w:hAnsi="宋体" w:eastAsia="宋体" w:cs="宋体"/>
      <w:i/>
      <w:iCs/>
      <w:color w:val="2E74B5"/>
      <w:sz w:val="32"/>
      <w:szCs w:val="32"/>
    </w:rPr>
  </w:style>
  <w:style w:type="paragraph" w:styleId="6">
    <w:name w:val="heading 5"/>
    <w:next w:val="1"/>
    <w:qFormat/>
    <w:uiPriority w:val="0"/>
    <w:rPr>
      <w:rFonts w:ascii="宋体" w:hAnsi="宋体" w:eastAsia="宋体" w:cs="宋体"/>
      <w:color w:val="2E74B5"/>
      <w:sz w:val="32"/>
      <w:szCs w:val="32"/>
    </w:rPr>
  </w:style>
  <w:style w:type="paragraph" w:styleId="7">
    <w:name w:val="heading 6"/>
    <w:next w:val="1"/>
    <w:qFormat/>
    <w:uiPriority w:val="0"/>
    <w:rPr>
      <w:rFonts w:ascii="宋体" w:hAnsi="宋体" w:eastAsia="宋体" w:cs="宋体"/>
      <w:color w:val="1F4D78"/>
      <w:sz w:val="32"/>
      <w:szCs w:val="32"/>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宋体" w:hAnsi="宋体" w:eastAsia="宋体" w:cs="宋体"/>
      <w:sz w:val="20"/>
      <w:szCs w:val="20"/>
    </w:rPr>
  </w:style>
  <w:style w:type="paragraph" w:styleId="9">
    <w:name w:val="toc 1"/>
    <w:basedOn w:val="1"/>
    <w:next w:val="1"/>
    <w:qFormat/>
    <w:uiPriority w:val="39"/>
  </w:style>
  <w:style w:type="paragraph" w:styleId="10">
    <w:name w:val="footnote text"/>
    <w:link w:val="18"/>
    <w:semiHidden/>
    <w:unhideWhenUsed/>
    <w:qFormat/>
    <w:uiPriority w:val="99"/>
    <w:pPr>
      <w:spacing w:after="0" w:line="240" w:lineRule="auto"/>
    </w:pPr>
    <w:rPr>
      <w:rFonts w:ascii="宋体" w:hAnsi="宋体" w:eastAsia="宋体" w:cs="宋体"/>
      <w:sz w:val="20"/>
      <w:szCs w:val="20"/>
    </w:rPr>
  </w:style>
  <w:style w:type="paragraph" w:styleId="11">
    <w:name w:val="Title"/>
    <w:qFormat/>
    <w:uiPriority w:val="0"/>
    <w:rPr>
      <w:rFonts w:ascii="宋体" w:hAnsi="宋体" w:eastAsia="宋体" w:cs="宋体"/>
      <w:sz w:val="56"/>
      <w:szCs w:val="56"/>
    </w:r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宋体" w:hAnsi="宋体" w:eastAsia="宋体" w:cs="宋体"/>
      <w:sz w:val="32"/>
      <w:szCs w:val="32"/>
    </w:rPr>
  </w:style>
  <w:style w:type="character" w:customStyle="1" w:styleId="18">
    <w:name w:val="Footnote Text Char"/>
    <w:link w:val="10"/>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1379</Words>
  <Characters>1467</Characters>
  <TotalTime>20</TotalTime>
  <ScaleCrop>false</ScaleCrop>
  <LinksUpToDate>false</LinksUpToDate>
  <CharactersWithSpaces>1521</CharactersWithSpaces>
  <Application>WPS Office_12.1.0.26936_F1E327BC-269C-435d-A152-05C5408002CA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2026-07-20T02:58:00Z</dcterms:created>
  <dc:creator>Un-named</dc:creator>
  <cp:lastModifiedBy>jk</cp:lastModifiedBy>
  <dcterms:modified xsi:type="dcterms:W3CDTF">2026-07-31T01:43:31Z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4241261491660298_0/project_7655624899565732132-files/传染病接口改造服务项目竞争性比选文件.docx","ReservedCode1":"","ContentPropagator":"001191110102MACQD9K64028705","PropagateID":"4241261491660298#1784516424865","ReservedCode2":""}</vt:lpwstr>
  </property>
  <property fmtid="{D5CDD505-2E9C-101B-9397-08002B2CF9AE}" pid="3" name="KSOTemplateDocerSaveRecord">
    <vt:lpwstr>eyJoZGlkIjoiNzYxNmNjZTI0ZTU4Mzg1ODU5ZDc2NzVlOTg2M2E3MWQiLCJ1c2VySWQiOiIxOTczMzUyMDUifQ==</vt:lpwstr>
  </property>
  <property fmtid="{D5CDD505-2E9C-101B-9397-08002B2CF9AE}" pid="4" name="KSOProductBuildVer">
    <vt:lpwstr>2052-12.1.0.26936</vt:lpwstr>
  </property>
  <property fmtid="{D5CDD505-2E9C-101B-9397-08002B2CF9AE}" pid="5" name="ICV">
    <vt:lpwstr>E690A6EC12BA40AFA3F304D21D58749D_13</vt:lpwstr>
  </property>
</Properties>
</file>