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C2B99">
      <w:pPr>
        <w:jc w:val="center"/>
        <w:rPr>
          <w:rFonts w:hint="eastAsia" w:ascii="微软雅黑" w:hAnsi="微软雅黑" w:eastAsia="微软雅黑" w:cs="微软雅黑"/>
          <w:color w:val="auto"/>
          <w:highlight w:val="none"/>
        </w:rPr>
      </w:pPr>
    </w:p>
    <w:p w14:paraId="0DD44A07">
      <w:pPr>
        <w:pStyle w:val="5"/>
        <w:rPr>
          <w:rFonts w:hint="eastAsia" w:ascii="微软雅黑" w:hAnsi="微软雅黑" w:eastAsia="微软雅黑" w:cs="微软雅黑"/>
          <w:color w:val="auto"/>
          <w:highlight w:val="none"/>
        </w:rPr>
      </w:pPr>
    </w:p>
    <w:p w14:paraId="3550961E">
      <w:pPr>
        <w:pStyle w:val="6"/>
        <w:rPr>
          <w:rFonts w:hint="eastAsia" w:ascii="微软雅黑" w:hAnsi="微软雅黑" w:eastAsia="微软雅黑" w:cs="微软雅黑"/>
          <w:color w:val="auto"/>
          <w:highlight w:val="none"/>
        </w:rPr>
      </w:pPr>
    </w:p>
    <w:p w14:paraId="5A874255">
      <w:pPr>
        <w:rPr>
          <w:color w:val="auto"/>
          <w:highlight w:val="none"/>
        </w:rPr>
      </w:pPr>
    </w:p>
    <w:p w14:paraId="4A043AAE">
      <w:pPr>
        <w:spacing w:line="780" w:lineRule="exact"/>
        <w:jc w:val="center"/>
        <w:rPr>
          <w:rFonts w:hint="eastAsia" w:ascii="微软雅黑" w:hAnsi="微软雅黑" w:eastAsia="微软雅黑" w:cs="微软雅黑"/>
          <w:b/>
          <w:bCs/>
          <w:color w:val="auto"/>
          <w:sz w:val="36"/>
          <w:szCs w:val="36"/>
          <w:highlight w:val="none"/>
        </w:rPr>
      </w:pPr>
      <w:r>
        <w:rPr>
          <w:rFonts w:hint="eastAsia" w:ascii="微软雅黑" w:hAnsi="微软雅黑" w:eastAsia="微软雅黑" w:cs="微软雅黑"/>
          <w:b/>
          <w:bCs/>
          <w:color w:val="auto"/>
          <w:sz w:val="36"/>
          <w:szCs w:val="36"/>
          <w:highlight w:val="none"/>
        </w:rPr>
        <w:t>重庆</w:t>
      </w:r>
      <w:r>
        <w:rPr>
          <w:rFonts w:hint="eastAsia" w:ascii="微软雅黑" w:hAnsi="微软雅黑" w:eastAsia="微软雅黑" w:cs="微软雅黑"/>
          <w:b/>
          <w:bCs/>
          <w:color w:val="auto"/>
          <w:sz w:val="36"/>
          <w:szCs w:val="36"/>
          <w:highlight w:val="none"/>
          <w:lang w:val="en-US" w:eastAsia="zh-CN"/>
        </w:rPr>
        <w:t>市</w:t>
      </w:r>
      <w:r>
        <w:rPr>
          <w:rFonts w:hint="eastAsia" w:ascii="微软雅黑" w:hAnsi="微软雅黑" w:eastAsia="微软雅黑" w:cs="微软雅黑"/>
          <w:b/>
          <w:bCs/>
          <w:color w:val="auto"/>
          <w:sz w:val="36"/>
          <w:szCs w:val="36"/>
          <w:highlight w:val="none"/>
        </w:rPr>
        <w:t>两江新区人民医院</w:t>
      </w:r>
    </w:p>
    <w:p w14:paraId="6C45E44B">
      <w:pPr>
        <w:spacing w:line="780" w:lineRule="exact"/>
        <w:jc w:val="center"/>
        <w:rPr>
          <w:rFonts w:hint="eastAsia" w:ascii="微软雅黑" w:hAnsi="微软雅黑" w:eastAsia="微软雅黑" w:cs="微软雅黑"/>
          <w:b/>
          <w:bCs/>
          <w:color w:val="auto"/>
          <w:sz w:val="36"/>
          <w:szCs w:val="36"/>
          <w:highlight w:val="none"/>
          <w:lang w:eastAsia="zh-CN"/>
        </w:rPr>
      </w:pPr>
      <w:r>
        <w:rPr>
          <w:rFonts w:hint="eastAsia" w:ascii="微软雅黑" w:hAnsi="微软雅黑" w:eastAsia="微软雅黑" w:cs="微软雅黑"/>
          <w:b/>
          <w:bCs/>
          <w:color w:val="auto"/>
          <w:sz w:val="36"/>
          <w:szCs w:val="36"/>
          <w:highlight w:val="none"/>
        </w:rPr>
        <w:t>招标代理服务机构遴选项目竞争性比选</w:t>
      </w:r>
    </w:p>
    <w:p w14:paraId="4C8CA9FB">
      <w:pPr>
        <w:spacing w:line="700" w:lineRule="exact"/>
        <w:jc w:val="center"/>
        <w:rPr>
          <w:rFonts w:hint="eastAsia" w:ascii="微软雅黑" w:hAnsi="微软雅黑" w:eastAsia="微软雅黑" w:cs="微软雅黑"/>
          <w:color w:val="auto"/>
          <w:sz w:val="32"/>
          <w:highlight w:val="none"/>
        </w:rPr>
      </w:pPr>
    </w:p>
    <w:p w14:paraId="599A22B8">
      <w:pPr>
        <w:pStyle w:val="11"/>
        <w:rPr>
          <w:color w:val="auto"/>
          <w:highlight w:val="none"/>
        </w:rPr>
      </w:pPr>
    </w:p>
    <w:p w14:paraId="185DE4E6">
      <w:pPr>
        <w:rPr>
          <w:color w:val="auto"/>
          <w:highlight w:val="none"/>
        </w:rPr>
      </w:pPr>
    </w:p>
    <w:p w14:paraId="3E82FF91">
      <w:pPr>
        <w:pStyle w:val="5"/>
        <w:rPr>
          <w:color w:val="auto"/>
          <w:highlight w:val="none"/>
        </w:rPr>
      </w:pPr>
    </w:p>
    <w:p w14:paraId="6D327424">
      <w:pPr>
        <w:pStyle w:val="6"/>
        <w:rPr>
          <w:color w:val="auto"/>
          <w:highlight w:val="none"/>
        </w:rPr>
      </w:pPr>
    </w:p>
    <w:p w14:paraId="37F329F0">
      <w:pPr>
        <w:rPr>
          <w:color w:val="auto"/>
          <w:highlight w:val="none"/>
        </w:rPr>
      </w:pPr>
    </w:p>
    <w:p w14:paraId="75E8A16E">
      <w:pPr>
        <w:pStyle w:val="5"/>
        <w:rPr>
          <w:color w:val="auto"/>
          <w:highlight w:val="none"/>
        </w:rPr>
      </w:pPr>
    </w:p>
    <w:p w14:paraId="445DF943">
      <w:pPr>
        <w:pStyle w:val="6"/>
        <w:rPr>
          <w:color w:val="auto"/>
          <w:highlight w:val="none"/>
        </w:rPr>
      </w:pPr>
    </w:p>
    <w:p w14:paraId="60F8C722">
      <w:pPr>
        <w:pStyle w:val="12"/>
        <w:rPr>
          <w:color w:val="auto"/>
          <w:highlight w:val="none"/>
        </w:rPr>
      </w:pPr>
    </w:p>
    <w:p w14:paraId="00D2FCBB">
      <w:pPr>
        <w:rPr>
          <w:color w:val="auto"/>
          <w:highlight w:val="none"/>
        </w:rPr>
      </w:pPr>
    </w:p>
    <w:p w14:paraId="0CBC7C6B">
      <w:pPr>
        <w:pStyle w:val="5"/>
        <w:rPr>
          <w:color w:val="auto"/>
          <w:highlight w:val="none"/>
        </w:rPr>
      </w:pPr>
    </w:p>
    <w:p w14:paraId="2DF84499">
      <w:pPr>
        <w:jc w:val="center"/>
        <w:rPr>
          <w:rFonts w:hint="eastAsia" w:ascii="微软雅黑" w:hAnsi="微软雅黑" w:eastAsia="微软雅黑" w:cs="微软雅黑"/>
          <w:color w:val="auto"/>
          <w:szCs w:val="28"/>
          <w:highlight w:val="none"/>
        </w:rPr>
      </w:pPr>
      <w:r>
        <w:rPr>
          <w:rFonts w:hint="eastAsia" w:ascii="微软雅黑" w:hAnsi="微软雅黑" w:eastAsia="微软雅黑" w:cs="微软雅黑"/>
          <w:color w:val="auto"/>
          <w:sz w:val="30"/>
          <w:szCs w:val="30"/>
          <w:highlight w:val="none"/>
        </w:rPr>
        <w:t>采购人：重庆</w:t>
      </w:r>
      <w:r>
        <w:rPr>
          <w:rFonts w:hint="eastAsia" w:ascii="微软雅黑" w:hAnsi="微软雅黑" w:eastAsia="微软雅黑" w:cs="微软雅黑"/>
          <w:color w:val="auto"/>
          <w:sz w:val="30"/>
          <w:szCs w:val="30"/>
          <w:highlight w:val="none"/>
          <w:lang w:val="en-US" w:eastAsia="zh-CN"/>
        </w:rPr>
        <w:t>市</w:t>
      </w:r>
      <w:r>
        <w:rPr>
          <w:rFonts w:hint="eastAsia" w:ascii="微软雅黑" w:hAnsi="微软雅黑" w:eastAsia="微软雅黑" w:cs="微软雅黑"/>
          <w:color w:val="auto"/>
          <w:sz w:val="30"/>
          <w:szCs w:val="30"/>
          <w:highlight w:val="none"/>
        </w:rPr>
        <w:t>两江新区人民医院</w:t>
      </w:r>
    </w:p>
    <w:p w14:paraId="49723C77">
      <w:pPr>
        <w:spacing w:line="720" w:lineRule="exact"/>
        <w:jc w:val="center"/>
        <w:outlineLvl w:val="0"/>
        <w:rPr>
          <w:rFonts w:hint="eastAsia" w:ascii="微软雅黑" w:hAnsi="微软雅黑" w:eastAsia="微软雅黑" w:cs="微软雅黑"/>
          <w:color w:val="auto"/>
          <w:sz w:val="30"/>
          <w:szCs w:val="30"/>
          <w:highlight w:val="none"/>
        </w:rPr>
      </w:pPr>
      <w:r>
        <w:rPr>
          <w:rFonts w:hint="eastAsia" w:ascii="微软雅黑" w:hAnsi="微软雅黑" w:eastAsia="微软雅黑" w:cs="微软雅黑"/>
          <w:color w:val="auto"/>
          <w:sz w:val="30"/>
          <w:szCs w:val="30"/>
          <w:highlight w:val="none"/>
        </w:rPr>
        <w:t xml:space="preserve">   二〇二</w:t>
      </w:r>
      <w:r>
        <w:rPr>
          <w:rFonts w:hint="eastAsia" w:ascii="微软雅黑" w:hAnsi="微软雅黑" w:eastAsia="微软雅黑" w:cs="微软雅黑"/>
          <w:color w:val="auto"/>
          <w:sz w:val="30"/>
          <w:szCs w:val="30"/>
          <w:highlight w:val="none"/>
          <w:lang w:val="en-US" w:eastAsia="zh-CN"/>
        </w:rPr>
        <w:t>六</w:t>
      </w:r>
      <w:r>
        <w:rPr>
          <w:rFonts w:hint="eastAsia" w:ascii="微软雅黑" w:hAnsi="微软雅黑" w:eastAsia="微软雅黑" w:cs="微软雅黑"/>
          <w:color w:val="auto"/>
          <w:sz w:val="30"/>
          <w:szCs w:val="30"/>
          <w:highlight w:val="none"/>
        </w:rPr>
        <w:t>年</w:t>
      </w:r>
      <w:r>
        <w:rPr>
          <w:rFonts w:hint="eastAsia" w:ascii="微软雅黑" w:hAnsi="微软雅黑" w:eastAsia="微软雅黑" w:cs="微软雅黑"/>
          <w:color w:val="auto"/>
          <w:sz w:val="30"/>
          <w:szCs w:val="30"/>
          <w:highlight w:val="none"/>
          <w:lang w:val="en-US" w:eastAsia="zh-CN"/>
        </w:rPr>
        <w:t>七</w:t>
      </w:r>
      <w:r>
        <w:rPr>
          <w:rFonts w:hint="eastAsia" w:ascii="微软雅黑" w:hAnsi="微软雅黑" w:eastAsia="微软雅黑" w:cs="微软雅黑"/>
          <w:color w:val="auto"/>
          <w:sz w:val="30"/>
          <w:szCs w:val="30"/>
          <w:highlight w:val="none"/>
        </w:rPr>
        <w:t>月</w:t>
      </w:r>
    </w:p>
    <w:p w14:paraId="0F300FD0">
      <w:pPr>
        <w:spacing w:line="480" w:lineRule="exact"/>
        <w:jc w:val="center"/>
        <w:outlineLvl w:val="0"/>
        <w:rPr>
          <w:rFonts w:hint="eastAsia" w:ascii="微软雅黑" w:hAnsi="微软雅黑" w:eastAsia="微软雅黑" w:cs="微软雅黑"/>
          <w:color w:val="auto"/>
          <w:sz w:val="44"/>
          <w:szCs w:val="28"/>
          <w:highlight w:val="none"/>
        </w:rPr>
      </w:pPr>
    </w:p>
    <w:p w14:paraId="74CEBD77">
      <w:pPr>
        <w:pStyle w:val="6"/>
        <w:rPr>
          <w:rFonts w:hint="eastAsia" w:ascii="微软雅黑" w:hAnsi="微软雅黑" w:eastAsia="微软雅黑" w:cs="微软雅黑"/>
          <w:color w:val="auto"/>
          <w:sz w:val="44"/>
          <w:szCs w:val="28"/>
          <w:highlight w:val="none"/>
        </w:rPr>
      </w:pPr>
    </w:p>
    <w:p w14:paraId="6A991072">
      <w:pPr>
        <w:rPr>
          <w:rFonts w:hint="eastAsia" w:ascii="微软雅黑" w:hAnsi="微软雅黑" w:eastAsia="微软雅黑" w:cs="微软雅黑"/>
          <w:color w:val="auto"/>
          <w:sz w:val="44"/>
          <w:szCs w:val="28"/>
          <w:highlight w:val="none"/>
        </w:rPr>
      </w:pPr>
    </w:p>
    <w:p w14:paraId="6728A355">
      <w:pPr>
        <w:pStyle w:val="5"/>
        <w:rPr>
          <w:rFonts w:hint="eastAsia" w:ascii="微软雅黑" w:hAnsi="微软雅黑" w:eastAsia="微软雅黑" w:cs="微软雅黑"/>
          <w:color w:val="auto"/>
          <w:sz w:val="44"/>
          <w:szCs w:val="28"/>
          <w:highlight w:val="none"/>
        </w:rPr>
      </w:pPr>
    </w:p>
    <w:p w14:paraId="475E94B9">
      <w:pPr>
        <w:pStyle w:val="6"/>
        <w:rPr>
          <w:rFonts w:hint="eastAsia" w:ascii="微软雅黑" w:hAnsi="微软雅黑" w:eastAsia="微软雅黑" w:cs="微软雅黑"/>
          <w:color w:val="auto"/>
          <w:sz w:val="44"/>
          <w:szCs w:val="28"/>
          <w:highlight w:val="none"/>
        </w:rPr>
      </w:pPr>
    </w:p>
    <w:p w14:paraId="47D661AC">
      <w:pPr>
        <w:pStyle w:val="6"/>
        <w:rPr>
          <w:color w:val="auto"/>
          <w:highlight w:val="none"/>
        </w:rPr>
      </w:pPr>
      <w:r>
        <w:rPr>
          <w:rFonts w:hint="eastAsia"/>
          <w:color w:val="auto"/>
          <w:highlight w:val="none"/>
        </w:rPr>
        <w:br w:type="page"/>
      </w:r>
    </w:p>
    <w:p w14:paraId="750D1C59">
      <w:pPr>
        <w:spacing w:line="480" w:lineRule="exact"/>
        <w:jc w:val="center"/>
        <w:outlineLvl w:val="0"/>
        <w:rPr>
          <w:rFonts w:hint="eastAsia" w:ascii="微软雅黑" w:hAnsi="微软雅黑" w:eastAsia="微软雅黑" w:cs="微软雅黑"/>
          <w:color w:val="auto"/>
          <w:sz w:val="44"/>
          <w:szCs w:val="28"/>
          <w:highlight w:val="none"/>
        </w:rPr>
      </w:pPr>
      <w:r>
        <w:rPr>
          <w:rFonts w:hint="eastAsia" w:ascii="微软雅黑" w:hAnsi="微软雅黑" w:eastAsia="微软雅黑" w:cs="微软雅黑"/>
          <w:color w:val="auto"/>
          <w:sz w:val="44"/>
          <w:szCs w:val="28"/>
          <w:highlight w:val="none"/>
        </w:rPr>
        <w:t>目   录</w:t>
      </w:r>
    </w:p>
    <w:p w14:paraId="4FA18087">
      <w:pPr>
        <w:pStyle w:val="13"/>
        <w:tabs>
          <w:tab w:val="right" w:leader="dot" w:pos="9412"/>
        </w:tabs>
        <w:rPr>
          <w:highlight w:val="none"/>
        </w:rPr>
      </w:pPr>
      <w:r>
        <w:rPr>
          <w:rFonts w:hint="eastAsia" w:ascii="微软雅黑" w:hAnsi="微软雅黑" w:eastAsia="微软雅黑" w:cs="微软雅黑"/>
          <w:color w:val="auto"/>
          <w:sz w:val="21"/>
          <w:szCs w:val="21"/>
          <w:highlight w:val="none"/>
        </w:rPr>
        <w:fldChar w:fldCharType="begin"/>
      </w:r>
      <w:r>
        <w:rPr>
          <w:rFonts w:hint="eastAsia" w:ascii="微软雅黑" w:hAnsi="微软雅黑" w:eastAsia="微软雅黑" w:cs="微软雅黑"/>
          <w:color w:val="auto"/>
          <w:sz w:val="21"/>
          <w:szCs w:val="21"/>
          <w:highlight w:val="none"/>
        </w:rPr>
        <w:instrText xml:space="preserve"> TOC \o "1-3" \h \z </w:instrText>
      </w:r>
      <w:r>
        <w:rPr>
          <w:rFonts w:hint="eastAsia" w:ascii="微软雅黑" w:hAnsi="微软雅黑" w:eastAsia="微软雅黑" w:cs="微软雅黑"/>
          <w:color w:val="auto"/>
          <w:sz w:val="21"/>
          <w:szCs w:val="21"/>
          <w:highlight w:val="none"/>
        </w:rPr>
        <w:fldChar w:fldCharType="separate"/>
      </w: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_Toc5709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30"/>
          <w:highlight w:val="none"/>
        </w:rPr>
        <w:t>第一篇  比选邀请书</w:t>
      </w:r>
      <w:r>
        <w:rPr>
          <w:highlight w:val="none"/>
        </w:rPr>
        <w:tab/>
      </w:r>
      <w:r>
        <w:rPr>
          <w:highlight w:val="none"/>
        </w:rPr>
        <w:fldChar w:fldCharType="begin"/>
      </w:r>
      <w:r>
        <w:rPr>
          <w:highlight w:val="none"/>
        </w:rPr>
        <w:instrText xml:space="preserve"> PAGEREF _Toc5709 \h </w:instrText>
      </w:r>
      <w:r>
        <w:rPr>
          <w:highlight w:val="none"/>
        </w:rPr>
        <w:fldChar w:fldCharType="separate"/>
      </w:r>
      <w:r>
        <w:rPr>
          <w:highlight w:val="none"/>
        </w:rPr>
        <w:t>- 4 -</w:t>
      </w:r>
      <w:r>
        <w:rPr>
          <w:highlight w:val="none"/>
        </w:rPr>
        <w:fldChar w:fldCharType="end"/>
      </w:r>
      <w:r>
        <w:rPr>
          <w:rFonts w:hint="eastAsia" w:ascii="微软雅黑" w:hAnsi="微软雅黑" w:eastAsia="微软雅黑" w:cs="微软雅黑"/>
          <w:color w:val="auto"/>
          <w:szCs w:val="21"/>
          <w:highlight w:val="none"/>
        </w:rPr>
        <w:fldChar w:fldCharType="end"/>
      </w:r>
    </w:p>
    <w:p w14:paraId="1D1AA396">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_Toc4940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一、竞争性比选内容</w:t>
      </w:r>
      <w:r>
        <w:rPr>
          <w:highlight w:val="none"/>
        </w:rPr>
        <w:tab/>
      </w:r>
      <w:r>
        <w:rPr>
          <w:highlight w:val="none"/>
        </w:rPr>
        <w:fldChar w:fldCharType="begin"/>
      </w:r>
      <w:r>
        <w:rPr>
          <w:highlight w:val="none"/>
        </w:rPr>
        <w:instrText xml:space="preserve"> PAGEREF _Toc4940 \h </w:instrText>
      </w:r>
      <w:r>
        <w:rPr>
          <w:highlight w:val="none"/>
        </w:rPr>
        <w:fldChar w:fldCharType="separate"/>
      </w:r>
      <w:r>
        <w:rPr>
          <w:highlight w:val="none"/>
        </w:rPr>
        <w:t>- 4 -</w:t>
      </w:r>
      <w:r>
        <w:rPr>
          <w:highlight w:val="none"/>
        </w:rPr>
        <w:fldChar w:fldCharType="end"/>
      </w:r>
      <w:r>
        <w:rPr>
          <w:rFonts w:hint="eastAsia" w:ascii="微软雅黑" w:hAnsi="微软雅黑" w:eastAsia="微软雅黑" w:cs="微软雅黑"/>
          <w:color w:val="auto"/>
          <w:szCs w:val="21"/>
          <w:highlight w:val="none"/>
        </w:rPr>
        <w:fldChar w:fldCharType="end"/>
      </w:r>
    </w:p>
    <w:p w14:paraId="3C61A499">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_Toc4122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二、采购代理机构资格条件</w:t>
      </w:r>
      <w:r>
        <w:rPr>
          <w:highlight w:val="none"/>
        </w:rPr>
        <w:tab/>
      </w:r>
      <w:r>
        <w:rPr>
          <w:highlight w:val="none"/>
        </w:rPr>
        <w:fldChar w:fldCharType="begin"/>
      </w:r>
      <w:r>
        <w:rPr>
          <w:highlight w:val="none"/>
        </w:rPr>
        <w:instrText xml:space="preserve"> PAGEREF _Toc4122 \h </w:instrText>
      </w:r>
      <w:r>
        <w:rPr>
          <w:highlight w:val="none"/>
        </w:rPr>
        <w:fldChar w:fldCharType="separate"/>
      </w:r>
      <w:r>
        <w:rPr>
          <w:highlight w:val="none"/>
        </w:rPr>
        <w:t>- 4 -</w:t>
      </w:r>
      <w:r>
        <w:rPr>
          <w:highlight w:val="none"/>
        </w:rPr>
        <w:fldChar w:fldCharType="end"/>
      </w:r>
      <w:r>
        <w:rPr>
          <w:rFonts w:hint="eastAsia" w:ascii="微软雅黑" w:hAnsi="微软雅黑" w:eastAsia="微软雅黑" w:cs="微软雅黑"/>
          <w:color w:val="auto"/>
          <w:szCs w:val="21"/>
          <w:highlight w:val="none"/>
        </w:rPr>
        <w:fldChar w:fldCharType="end"/>
      </w:r>
    </w:p>
    <w:p w14:paraId="0B536B55">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_Toc12861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三、比选有关说明</w:t>
      </w:r>
      <w:r>
        <w:rPr>
          <w:highlight w:val="none"/>
        </w:rPr>
        <w:tab/>
      </w:r>
      <w:r>
        <w:rPr>
          <w:highlight w:val="none"/>
        </w:rPr>
        <w:fldChar w:fldCharType="begin"/>
      </w:r>
      <w:r>
        <w:rPr>
          <w:highlight w:val="none"/>
        </w:rPr>
        <w:instrText xml:space="preserve"> PAGEREF _Toc12861 \h </w:instrText>
      </w:r>
      <w:r>
        <w:rPr>
          <w:highlight w:val="none"/>
        </w:rPr>
        <w:fldChar w:fldCharType="separate"/>
      </w:r>
      <w:r>
        <w:rPr>
          <w:highlight w:val="none"/>
        </w:rPr>
        <w:t>- 5 -</w:t>
      </w:r>
      <w:r>
        <w:rPr>
          <w:highlight w:val="none"/>
        </w:rPr>
        <w:fldChar w:fldCharType="end"/>
      </w:r>
      <w:r>
        <w:rPr>
          <w:rFonts w:hint="eastAsia" w:ascii="微软雅黑" w:hAnsi="微软雅黑" w:eastAsia="微软雅黑" w:cs="微软雅黑"/>
          <w:color w:val="auto"/>
          <w:szCs w:val="21"/>
          <w:highlight w:val="none"/>
        </w:rPr>
        <w:fldChar w:fldCharType="end"/>
      </w:r>
    </w:p>
    <w:p w14:paraId="65FD1F12">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_Toc26208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四、其它有关规定</w:t>
      </w:r>
      <w:r>
        <w:rPr>
          <w:highlight w:val="none"/>
        </w:rPr>
        <w:tab/>
      </w:r>
      <w:r>
        <w:rPr>
          <w:highlight w:val="none"/>
        </w:rPr>
        <w:fldChar w:fldCharType="begin"/>
      </w:r>
      <w:r>
        <w:rPr>
          <w:highlight w:val="none"/>
        </w:rPr>
        <w:instrText xml:space="preserve"> PAGEREF _Toc26208 \h </w:instrText>
      </w:r>
      <w:r>
        <w:rPr>
          <w:highlight w:val="none"/>
        </w:rPr>
        <w:fldChar w:fldCharType="separate"/>
      </w:r>
      <w:r>
        <w:rPr>
          <w:highlight w:val="none"/>
        </w:rPr>
        <w:t>- 5 -</w:t>
      </w:r>
      <w:r>
        <w:rPr>
          <w:highlight w:val="none"/>
        </w:rPr>
        <w:fldChar w:fldCharType="end"/>
      </w:r>
      <w:r>
        <w:rPr>
          <w:rFonts w:hint="eastAsia" w:ascii="微软雅黑" w:hAnsi="微软雅黑" w:eastAsia="微软雅黑" w:cs="微软雅黑"/>
          <w:color w:val="auto"/>
          <w:szCs w:val="21"/>
          <w:highlight w:val="none"/>
        </w:rPr>
        <w:fldChar w:fldCharType="end"/>
      </w:r>
    </w:p>
    <w:p w14:paraId="135D3398">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_Toc3517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五、联系方式</w:t>
      </w:r>
      <w:r>
        <w:rPr>
          <w:highlight w:val="none"/>
        </w:rPr>
        <w:tab/>
      </w:r>
      <w:r>
        <w:rPr>
          <w:highlight w:val="none"/>
        </w:rPr>
        <w:fldChar w:fldCharType="begin"/>
      </w:r>
      <w:r>
        <w:rPr>
          <w:highlight w:val="none"/>
        </w:rPr>
        <w:instrText xml:space="preserve"> PAGEREF _Toc3517 \h </w:instrText>
      </w:r>
      <w:r>
        <w:rPr>
          <w:highlight w:val="none"/>
        </w:rPr>
        <w:fldChar w:fldCharType="separate"/>
      </w:r>
      <w:r>
        <w:rPr>
          <w:highlight w:val="none"/>
        </w:rPr>
        <w:t>- 6 -</w:t>
      </w:r>
      <w:r>
        <w:rPr>
          <w:highlight w:val="none"/>
        </w:rPr>
        <w:fldChar w:fldCharType="end"/>
      </w:r>
      <w:r>
        <w:rPr>
          <w:rFonts w:hint="eastAsia" w:ascii="微软雅黑" w:hAnsi="微软雅黑" w:eastAsia="微软雅黑" w:cs="微软雅黑"/>
          <w:color w:val="auto"/>
          <w:szCs w:val="21"/>
          <w:highlight w:val="none"/>
        </w:rPr>
        <w:fldChar w:fldCharType="end"/>
      </w:r>
    </w:p>
    <w:p w14:paraId="72A0817D">
      <w:pPr>
        <w:pStyle w:val="13"/>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_Toc20998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30"/>
          <w:highlight w:val="none"/>
        </w:rPr>
        <w:t>第二篇 项目服务需求</w:t>
      </w:r>
      <w:r>
        <w:rPr>
          <w:highlight w:val="none"/>
        </w:rPr>
        <w:tab/>
      </w:r>
      <w:r>
        <w:rPr>
          <w:highlight w:val="none"/>
        </w:rPr>
        <w:fldChar w:fldCharType="begin"/>
      </w:r>
      <w:r>
        <w:rPr>
          <w:highlight w:val="none"/>
        </w:rPr>
        <w:instrText xml:space="preserve"> PAGEREF _Toc20998 \h </w:instrText>
      </w:r>
      <w:r>
        <w:rPr>
          <w:highlight w:val="none"/>
        </w:rPr>
        <w:fldChar w:fldCharType="separate"/>
      </w:r>
      <w:r>
        <w:rPr>
          <w:highlight w:val="none"/>
        </w:rPr>
        <w:t>7</w:t>
      </w:r>
      <w:r>
        <w:rPr>
          <w:highlight w:val="none"/>
        </w:rPr>
        <w:fldChar w:fldCharType="end"/>
      </w:r>
      <w:r>
        <w:rPr>
          <w:rFonts w:hint="eastAsia" w:ascii="微软雅黑" w:hAnsi="微软雅黑" w:eastAsia="微软雅黑" w:cs="微软雅黑"/>
          <w:color w:val="auto"/>
          <w:szCs w:val="21"/>
          <w:highlight w:val="none"/>
        </w:rPr>
        <w:fldChar w:fldCharType="end"/>
      </w:r>
    </w:p>
    <w:p w14:paraId="18D66ACA">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_Toc1278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说明：“※”标注的部分为符合性审查中的实质性要求，若不满足按无效投标处理。</w:t>
      </w:r>
      <w:r>
        <w:rPr>
          <w:highlight w:val="none"/>
        </w:rPr>
        <w:tab/>
      </w:r>
      <w:r>
        <w:rPr>
          <w:highlight w:val="none"/>
        </w:rPr>
        <w:fldChar w:fldCharType="begin"/>
      </w:r>
      <w:r>
        <w:rPr>
          <w:highlight w:val="none"/>
        </w:rPr>
        <w:instrText xml:space="preserve"> PAGEREF _Toc1278 \h </w:instrText>
      </w:r>
      <w:r>
        <w:rPr>
          <w:highlight w:val="none"/>
        </w:rPr>
        <w:fldChar w:fldCharType="separate"/>
      </w:r>
      <w:r>
        <w:rPr>
          <w:highlight w:val="none"/>
        </w:rPr>
        <w:t>7</w:t>
      </w:r>
      <w:r>
        <w:rPr>
          <w:highlight w:val="none"/>
        </w:rPr>
        <w:fldChar w:fldCharType="end"/>
      </w:r>
      <w:r>
        <w:rPr>
          <w:rFonts w:hint="eastAsia" w:ascii="微软雅黑" w:hAnsi="微软雅黑" w:eastAsia="微软雅黑" w:cs="微软雅黑"/>
          <w:color w:val="auto"/>
          <w:szCs w:val="21"/>
          <w:highlight w:val="none"/>
        </w:rPr>
        <w:fldChar w:fldCharType="end"/>
      </w:r>
    </w:p>
    <w:p w14:paraId="2CB5344A">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_Toc8140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8"/>
          <w:highlight w:val="none"/>
        </w:rPr>
        <w:t>一、服务内容</w:t>
      </w:r>
      <w:r>
        <w:rPr>
          <w:highlight w:val="none"/>
        </w:rPr>
        <w:tab/>
      </w:r>
      <w:r>
        <w:rPr>
          <w:highlight w:val="none"/>
        </w:rPr>
        <w:fldChar w:fldCharType="begin"/>
      </w:r>
      <w:r>
        <w:rPr>
          <w:highlight w:val="none"/>
        </w:rPr>
        <w:instrText xml:space="preserve"> PAGEREF _Toc8140 \h </w:instrText>
      </w:r>
      <w:r>
        <w:rPr>
          <w:highlight w:val="none"/>
        </w:rPr>
        <w:fldChar w:fldCharType="separate"/>
      </w:r>
      <w:r>
        <w:rPr>
          <w:highlight w:val="none"/>
        </w:rPr>
        <w:t>7</w:t>
      </w:r>
      <w:r>
        <w:rPr>
          <w:highlight w:val="none"/>
        </w:rPr>
        <w:fldChar w:fldCharType="end"/>
      </w:r>
      <w:r>
        <w:rPr>
          <w:rFonts w:hint="eastAsia" w:ascii="微软雅黑" w:hAnsi="微软雅黑" w:eastAsia="微软雅黑" w:cs="微软雅黑"/>
          <w:color w:val="auto"/>
          <w:szCs w:val="21"/>
          <w:highlight w:val="none"/>
        </w:rPr>
        <w:fldChar w:fldCharType="end"/>
      </w:r>
    </w:p>
    <w:p w14:paraId="59EB38C1">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_Toc23214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8"/>
          <w:highlight w:val="none"/>
        </w:rPr>
        <w:t>二、服务要求</w:t>
      </w:r>
      <w:r>
        <w:rPr>
          <w:highlight w:val="none"/>
        </w:rPr>
        <w:tab/>
      </w:r>
      <w:r>
        <w:rPr>
          <w:highlight w:val="none"/>
        </w:rPr>
        <w:fldChar w:fldCharType="begin"/>
      </w:r>
      <w:r>
        <w:rPr>
          <w:highlight w:val="none"/>
        </w:rPr>
        <w:instrText xml:space="preserve"> PAGEREF _Toc23214 \h </w:instrText>
      </w:r>
      <w:r>
        <w:rPr>
          <w:highlight w:val="none"/>
        </w:rPr>
        <w:fldChar w:fldCharType="separate"/>
      </w:r>
      <w:r>
        <w:rPr>
          <w:highlight w:val="none"/>
        </w:rPr>
        <w:t>8</w:t>
      </w:r>
      <w:r>
        <w:rPr>
          <w:highlight w:val="none"/>
        </w:rPr>
        <w:fldChar w:fldCharType="end"/>
      </w:r>
      <w:r>
        <w:rPr>
          <w:rFonts w:hint="eastAsia" w:ascii="微软雅黑" w:hAnsi="微软雅黑" w:eastAsia="微软雅黑" w:cs="微软雅黑"/>
          <w:color w:val="auto"/>
          <w:szCs w:val="21"/>
          <w:highlight w:val="none"/>
        </w:rPr>
        <w:fldChar w:fldCharType="end"/>
      </w:r>
    </w:p>
    <w:p w14:paraId="3B63E59D">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_Toc21717 </w:instrText>
      </w:r>
      <w:r>
        <w:rPr>
          <w:rFonts w:hint="eastAsia" w:ascii="微软雅黑" w:hAnsi="微软雅黑" w:eastAsia="微软雅黑" w:cs="微软雅黑"/>
          <w:szCs w:val="21"/>
          <w:highlight w:val="none"/>
        </w:rPr>
        <w:fldChar w:fldCharType="separate"/>
      </w:r>
      <w:r>
        <w:rPr>
          <w:rFonts w:hint="eastAsia" w:ascii="宋体" w:hAnsi="宋体" w:cs="宋体"/>
          <w:kern w:val="0"/>
          <w:highlight w:val="none"/>
          <w:shd w:val="clear" w:color="auto" w:fill="FFFFFF"/>
        </w:rPr>
        <w:t>※</w:t>
      </w:r>
      <w:r>
        <w:rPr>
          <w:rFonts w:hint="eastAsia" w:ascii="微软雅黑" w:hAnsi="微软雅黑" w:eastAsia="微软雅黑" w:cs="微软雅黑"/>
          <w:szCs w:val="28"/>
          <w:highlight w:val="none"/>
        </w:rPr>
        <w:t>三、采购代理服务费的收取标准</w:t>
      </w:r>
      <w:r>
        <w:rPr>
          <w:highlight w:val="none"/>
        </w:rPr>
        <w:tab/>
      </w:r>
      <w:r>
        <w:rPr>
          <w:highlight w:val="none"/>
        </w:rPr>
        <w:fldChar w:fldCharType="begin"/>
      </w:r>
      <w:r>
        <w:rPr>
          <w:highlight w:val="none"/>
        </w:rPr>
        <w:instrText xml:space="preserve"> PAGEREF _Toc21717 \h </w:instrText>
      </w:r>
      <w:r>
        <w:rPr>
          <w:highlight w:val="none"/>
        </w:rPr>
        <w:fldChar w:fldCharType="separate"/>
      </w:r>
      <w:r>
        <w:rPr>
          <w:highlight w:val="none"/>
        </w:rPr>
        <w:t>11</w:t>
      </w:r>
      <w:r>
        <w:rPr>
          <w:highlight w:val="none"/>
        </w:rPr>
        <w:fldChar w:fldCharType="end"/>
      </w:r>
      <w:r>
        <w:rPr>
          <w:rFonts w:hint="eastAsia" w:ascii="微软雅黑" w:hAnsi="微软雅黑" w:eastAsia="微软雅黑" w:cs="微软雅黑"/>
          <w:color w:val="auto"/>
          <w:szCs w:val="21"/>
          <w:highlight w:val="none"/>
        </w:rPr>
        <w:fldChar w:fldCharType="end"/>
      </w:r>
    </w:p>
    <w:p w14:paraId="447C5A89">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_Toc16361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8"/>
          <w:highlight w:val="none"/>
        </w:rPr>
        <w:t>四、委派方式</w:t>
      </w:r>
      <w:r>
        <w:rPr>
          <w:highlight w:val="none"/>
        </w:rPr>
        <w:tab/>
      </w:r>
      <w:r>
        <w:rPr>
          <w:highlight w:val="none"/>
        </w:rPr>
        <w:fldChar w:fldCharType="begin"/>
      </w:r>
      <w:r>
        <w:rPr>
          <w:highlight w:val="none"/>
        </w:rPr>
        <w:instrText xml:space="preserve"> PAGEREF _Toc16361 \h </w:instrText>
      </w:r>
      <w:r>
        <w:rPr>
          <w:highlight w:val="none"/>
        </w:rPr>
        <w:fldChar w:fldCharType="separate"/>
      </w:r>
      <w:r>
        <w:rPr>
          <w:highlight w:val="none"/>
        </w:rPr>
        <w:t>13</w:t>
      </w:r>
      <w:r>
        <w:rPr>
          <w:highlight w:val="none"/>
        </w:rPr>
        <w:fldChar w:fldCharType="end"/>
      </w:r>
      <w:r>
        <w:rPr>
          <w:rFonts w:hint="eastAsia" w:ascii="微软雅黑" w:hAnsi="微软雅黑" w:eastAsia="微软雅黑" w:cs="微软雅黑"/>
          <w:color w:val="auto"/>
          <w:szCs w:val="21"/>
          <w:highlight w:val="none"/>
        </w:rPr>
        <w:fldChar w:fldCharType="end"/>
      </w:r>
    </w:p>
    <w:p w14:paraId="4FBED4DF">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_Toc9288 </w:instrText>
      </w:r>
      <w:r>
        <w:rPr>
          <w:rFonts w:hint="eastAsia" w:ascii="微软雅黑" w:hAnsi="微软雅黑" w:eastAsia="微软雅黑" w:cs="微软雅黑"/>
          <w:szCs w:val="21"/>
          <w:highlight w:val="none"/>
        </w:rPr>
        <w:fldChar w:fldCharType="separate"/>
      </w:r>
      <w:r>
        <w:rPr>
          <w:rFonts w:hint="eastAsia" w:ascii="宋体" w:hAnsi="宋体" w:cs="宋体"/>
          <w:kern w:val="0"/>
          <w:highlight w:val="none"/>
          <w:shd w:val="clear" w:color="auto" w:fill="FFFFFF"/>
        </w:rPr>
        <w:t>※</w:t>
      </w:r>
      <w:r>
        <w:rPr>
          <w:rFonts w:hint="eastAsia" w:ascii="微软雅黑" w:hAnsi="微软雅黑" w:eastAsia="微软雅黑" w:cs="微软雅黑"/>
          <w:szCs w:val="28"/>
          <w:highlight w:val="none"/>
        </w:rPr>
        <w:t>五、考核管理</w:t>
      </w:r>
      <w:r>
        <w:rPr>
          <w:highlight w:val="none"/>
        </w:rPr>
        <w:tab/>
      </w:r>
      <w:r>
        <w:rPr>
          <w:highlight w:val="none"/>
        </w:rPr>
        <w:fldChar w:fldCharType="begin"/>
      </w:r>
      <w:r>
        <w:rPr>
          <w:highlight w:val="none"/>
        </w:rPr>
        <w:instrText xml:space="preserve"> PAGEREF _Toc9288 \h </w:instrText>
      </w:r>
      <w:r>
        <w:rPr>
          <w:highlight w:val="none"/>
        </w:rPr>
        <w:fldChar w:fldCharType="separate"/>
      </w:r>
      <w:r>
        <w:rPr>
          <w:highlight w:val="none"/>
        </w:rPr>
        <w:t>13</w:t>
      </w:r>
      <w:r>
        <w:rPr>
          <w:highlight w:val="none"/>
        </w:rPr>
        <w:fldChar w:fldCharType="end"/>
      </w:r>
      <w:r>
        <w:rPr>
          <w:rFonts w:hint="eastAsia" w:ascii="微软雅黑" w:hAnsi="微软雅黑" w:eastAsia="微软雅黑" w:cs="微软雅黑"/>
          <w:color w:val="auto"/>
          <w:szCs w:val="21"/>
          <w:highlight w:val="none"/>
        </w:rPr>
        <w:fldChar w:fldCharType="end"/>
      </w:r>
    </w:p>
    <w:p w14:paraId="595D1019">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_Toc12231 </w:instrText>
      </w:r>
      <w:r>
        <w:rPr>
          <w:rFonts w:hint="eastAsia" w:ascii="微软雅黑" w:hAnsi="微软雅黑" w:eastAsia="微软雅黑" w:cs="微软雅黑"/>
          <w:szCs w:val="21"/>
          <w:highlight w:val="none"/>
        </w:rPr>
        <w:fldChar w:fldCharType="separate"/>
      </w:r>
      <w:r>
        <w:rPr>
          <w:rFonts w:hint="eastAsia" w:ascii="宋体" w:hAnsi="宋体" w:cs="宋体"/>
          <w:kern w:val="0"/>
          <w:highlight w:val="none"/>
          <w:shd w:val="clear" w:color="auto" w:fill="FFFFFF"/>
        </w:rPr>
        <w:t>※</w:t>
      </w:r>
      <w:r>
        <w:rPr>
          <w:rFonts w:hint="eastAsia" w:ascii="微软雅黑" w:hAnsi="微软雅黑" w:eastAsia="微软雅黑" w:cs="微软雅黑"/>
          <w:szCs w:val="28"/>
          <w:highlight w:val="none"/>
        </w:rPr>
        <w:t>六、违约责任</w:t>
      </w:r>
      <w:r>
        <w:rPr>
          <w:highlight w:val="none"/>
        </w:rPr>
        <w:tab/>
      </w:r>
      <w:r>
        <w:rPr>
          <w:highlight w:val="none"/>
        </w:rPr>
        <w:fldChar w:fldCharType="begin"/>
      </w:r>
      <w:r>
        <w:rPr>
          <w:highlight w:val="none"/>
        </w:rPr>
        <w:instrText xml:space="preserve"> PAGEREF _Toc12231 \h </w:instrText>
      </w:r>
      <w:r>
        <w:rPr>
          <w:highlight w:val="none"/>
        </w:rPr>
        <w:fldChar w:fldCharType="separate"/>
      </w:r>
      <w:r>
        <w:rPr>
          <w:highlight w:val="none"/>
        </w:rPr>
        <w:t>15</w:t>
      </w:r>
      <w:r>
        <w:rPr>
          <w:highlight w:val="none"/>
        </w:rPr>
        <w:fldChar w:fldCharType="end"/>
      </w:r>
      <w:r>
        <w:rPr>
          <w:rFonts w:hint="eastAsia" w:ascii="微软雅黑" w:hAnsi="微软雅黑" w:eastAsia="微软雅黑" w:cs="微软雅黑"/>
          <w:color w:val="auto"/>
          <w:szCs w:val="21"/>
          <w:highlight w:val="none"/>
        </w:rPr>
        <w:fldChar w:fldCharType="end"/>
      </w:r>
    </w:p>
    <w:p w14:paraId="0A1E5ED4">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_Toc10018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8"/>
          <w:highlight w:val="none"/>
        </w:rPr>
        <w:t>七、其他</w:t>
      </w:r>
      <w:r>
        <w:rPr>
          <w:highlight w:val="none"/>
        </w:rPr>
        <w:tab/>
      </w:r>
      <w:r>
        <w:rPr>
          <w:highlight w:val="none"/>
        </w:rPr>
        <w:fldChar w:fldCharType="begin"/>
      </w:r>
      <w:r>
        <w:rPr>
          <w:highlight w:val="none"/>
        </w:rPr>
        <w:instrText xml:space="preserve"> PAGEREF _Toc10018 \h </w:instrText>
      </w:r>
      <w:r>
        <w:rPr>
          <w:highlight w:val="none"/>
        </w:rPr>
        <w:fldChar w:fldCharType="separate"/>
      </w:r>
      <w:r>
        <w:rPr>
          <w:highlight w:val="none"/>
        </w:rPr>
        <w:t>16</w:t>
      </w:r>
      <w:r>
        <w:rPr>
          <w:highlight w:val="none"/>
        </w:rPr>
        <w:fldChar w:fldCharType="end"/>
      </w:r>
      <w:r>
        <w:rPr>
          <w:rFonts w:hint="eastAsia" w:ascii="微软雅黑" w:hAnsi="微软雅黑" w:eastAsia="微软雅黑" w:cs="微软雅黑"/>
          <w:color w:val="auto"/>
          <w:szCs w:val="21"/>
          <w:highlight w:val="none"/>
        </w:rPr>
        <w:fldChar w:fldCharType="end"/>
      </w:r>
    </w:p>
    <w:p w14:paraId="0F3361B8">
      <w:pPr>
        <w:pStyle w:val="13"/>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_Toc26745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30"/>
          <w:highlight w:val="none"/>
        </w:rPr>
        <w:t>第三篇  竞选程序及方法、评审标准、无效响应和</w:t>
      </w:r>
      <w:r>
        <w:rPr>
          <w:rFonts w:hint="eastAsia" w:ascii="微软雅黑" w:hAnsi="微软雅黑" w:eastAsia="微软雅黑" w:cs="微软雅黑"/>
          <w:szCs w:val="36"/>
          <w:highlight w:val="none"/>
        </w:rPr>
        <w:t>采购终止</w:t>
      </w:r>
      <w:r>
        <w:rPr>
          <w:highlight w:val="none"/>
        </w:rPr>
        <w:tab/>
      </w:r>
      <w:r>
        <w:rPr>
          <w:highlight w:val="none"/>
        </w:rPr>
        <w:fldChar w:fldCharType="begin"/>
      </w:r>
      <w:r>
        <w:rPr>
          <w:highlight w:val="none"/>
        </w:rPr>
        <w:instrText xml:space="preserve"> PAGEREF _Toc26745 \h </w:instrText>
      </w:r>
      <w:r>
        <w:rPr>
          <w:highlight w:val="none"/>
        </w:rPr>
        <w:fldChar w:fldCharType="separate"/>
      </w:r>
      <w:r>
        <w:rPr>
          <w:highlight w:val="none"/>
        </w:rPr>
        <w:t>- 17 -</w:t>
      </w:r>
      <w:r>
        <w:rPr>
          <w:highlight w:val="none"/>
        </w:rPr>
        <w:fldChar w:fldCharType="end"/>
      </w:r>
      <w:r>
        <w:rPr>
          <w:rFonts w:hint="eastAsia" w:ascii="微软雅黑" w:hAnsi="微软雅黑" w:eastAsia="微软雅黑" w:cs="微软雅黑"/>
          <w:color w:val="auto"/>
          <w:szCs w:val="21"/>
          <w:highlight w:val="none"/>
        </w:rPr>
        <w:fldChar w:fldCharType="end"/>
      </w:r>
    </w:p>
    <w:p w14:paraId="764592E6">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_Toc3953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一、竞选程序及方法</w:t>
      </w:r>
      <w:r>
        <w:rPr>
          <w:highlight w:val="none"/>
        </w:rPr>
        <w:tab/>
      </w:r>
      <w:r>
        <w:rPr>
          <w:highlight w:val="none"/>
        </w:rPr>
        <w:fldChar w:fldCharType="begin"/>
      </w:r>
      <w:r>
        <w:rPr>
          <w:highlight w:val="none"/>
        </w:rPr>
        <w:instrText xml:space="preserve"> PAGEREF _Toc3953 \h </w:instrText>
      </w:r>
      <w:r>
        <w:rPr>
          <w:highlight w:val="none"/>
        </w:rPr>
        <w:fldChar w:fldCharType="separate"/>
      </w:r>
      <w:r>
        <w:rPr>
          <w:highlight w:val="none"/>
        </w:rPr>
        <w:t>- 17 -</w:t>
      </w:r>
      <w:r>
        <w:rPr>
          <w:highlight w:val="none"/>
        </w:rPr>
        <w:fldChar w:fldCharType="end"/>
      </w:r>
      <w:r>
        <w:rPr>
          <w:rFonts w:hint="eastAsia" w:ascii="微软雅黑" w:hAnsi="微软雅黑" w:eastAsia="微软雅黑" w:cs="微软雅黑"/>
          <w:color w:val="auto"/>
          <w:szCs w:val="21"/>
          <w:highlight w:val="none"/>
        </w:rPr>
        <w:fldChar w:fldCharType="end"/>
      </w:r>
    </w:p>
    <w:p w14:paraId="3757F378">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_Toc30210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二、评审标准</w:t>
      </w:r>
      <w:r>
        <w:rPr>
          <w:highlight w:val="none"/>
        </w:rPr>
        <w:tab/>
      </w:r>
      <w:r>
        <w:rPr>
          <w:highlight w:val="none"/>
        </w:rPr>
        <w:fldChar w:fldCharType="begin"/>
      </w:r>
      <w:r>
        <w:rPr>
          <w:highlight w:val="none"/>
        </w:rPr>
        <w:instrText xml:space="preserve"> PAGEREF _Toc30210 \h </w:instrText>
      </w:r>
      <w:r>
        <w:rPr>
          <w:highlight w:val="none"/>
        </w:rPr>
        <w:fldChar w:fldCharType="separate"/>
      </w:r>
      <w:r>
        <w:rPr>
          <w:highlight w:val="none"/>
        </w:rPr>
        <w:t>- 19 -</w:t>
      </w:r>
      <w:r>
        <w:rPr>
          <w:highlight w:val="none"/>
        </w:rPr>
        <w:fldChar w:fldCharType="end"/>
      </w:r>
      <w:r>
        <w:rPr>
          <w:rFonts w:hint="eastAsia" w:ascii="微软雅黑" w:hAnsi="微软雅黑" w:eastAsia="微软雅黑" w:cs="微软雅黑"/>
          <w:color w:val="auto"/>
          <w:szCs w:val="21"/>
          <w:highlight w:val="none"/>
        </w:rPr>
        <w:fldChar w:fldCharType="end"/>
      </w:r>
    </w:p>
    <w:p w14:paraId="089DCCC4">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_Toc6800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三、无效响应</w:t>
      </w:r>
      <w:r>
        <w:rPr>
          <w:highlight w:val="none"/>
        </w:rPr>
        <w:tab/>
      </w:r>
      <w:r>
        <w:rPr>
          <w:highlight w:val="none"/>
        </w:rPr>
        <w:fldChar w:fldCharType="begin"/>
      </w:r>
      <w:r>
        <w:rPr>
          <w:highlight w:val="none"/>
        </w:rPr>
        <w:instrText xml:space="preserve"> PAGEREF _Toc6800 \h </w:instrText>
      </w:r>
      <w:r>
        <w:rPr>
          <w:highlight w:val="none"/>
        </w:rPr>
        <w:fldChar w:fldCharType="separate"/>
      </w:r>
      <w:r>
        <w:rPr>
          <w:highlight w:val="none"/>
        </w:rPr>
        <w:t>- 21 -</w:t>
      </w:r>
      <w:r>
        <w:rPr>
          <w:highlight w:val="none"/>
        </w:rPr>
        <w:fldChar w:fldCharType="end"/>
      </w:r>
      <w:r>
        <w:rPr>
          <w:rFonts w:hint="eastAsia" w:ascii="微软雅黑" w:hAnsi="微软雅黑" w:eastAsia="微软雅黑" w:cs="微软雅黑"/>
          <w:color w:val="auto"/>
          <w:szCs w:val="21"/>
          <w:highlight w:val="none"/>
        </w:rPr>
        <w:fldChar w:fldCharType="end"/>
      </w:r>
    </w:p>
    <w:p w14:paraId="18E56584">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_Toc9239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四、采购终止</w:t>
      </w:r>
      <w:r>
        <w:rPr>
          <w:highlight w:val="none"/>
        </w:rPr>
        <w:tab/>
      </w:r>
      <w:r>
        <w:rPr>
          <w:highlight w:val="none"/>
        </w:rPr>
        <w:fldChar w:fldCharType="begin"/>
      </w:r>
      <w:r>
        <w:rPr>
          <w:highlight w:val="none"/>
        </w:rPr>
        <w:instrText xml:space="preserve"> PAGEREF _Toc9239 \h </w:instrText>
      </w:r>
      <w:r>
        <w:rPr>
          <w:highlight w:val="none"/>
        </w:rPr>
        <w:fldChar w:fldCharType="separate"/>
      </w:r>
      <w:r>
        <w:rPr>
          <w:highlight w:val="none"/>
        </w:rPr>
        <w:t>- 21 -</w:t>
      </w:r>
      <w:r>
        <w:rPr>
          <w:highlight w:val="none"/>
        </w:rPr>
        <w:fldChar w:fldCharType="end"/>
      </w:r>
      <w:r>
        <w:rPr>
          <w:rFonts w:hint="eastAsia" w:ascii="微软雅黑" w:hAnsi="微软雅黑" w:eastAsia="微软雅黑" w:cs="微软雅黑"/>
          <w:color w:val="auto"/>
          <w:szCs w:val="21"/>
          <w:highlight w:val="none"/>
        </w:rPr>
        <w:fldChar w:fldCharType="end"/>
      </w:r>
    </w:p>
    <w:p w14:paraId="78DF8E7E">
      <w:pPr>
        <w:pStyle w:val="13"/>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_Toc25117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30"/>
          <w:highlight w:val="none"/>
        </w:rPr>
        <w:t>第四篇  采购代理机构须知</w:t>
      </w:r>
      <w:r>
        <w:rPr>
          <w:highlight w:val="none"/>
        </w:rPr>
        <w:tab/>
      </w:r>
      <w:r>
        <w:rPr>
          <w:highlight w:val="none"/>
        </w:rPr>
        <w:fldChar w:fldCharType="begin"/>
      </w:r>
      <w:r>
        <w:rPr>
          <w:highlight w:val="none"/>
        </w:rPr>
        <w:instrText xml:space="preserve"> PAGEREF _Toc25117 \h </w:instrText>
      </w:r>
      <w:r>
        <w:rPr>
          <w:highlight w:val="none"/>
        </w:rPr>
        <w:fldChar w:fldCharType="separate"/>
      </w:r>
      <w:r>
        <w:rPr>
          <w:highlight w:val="none"/>
        </w:rPr>
        <w:t>- 23 -</w:t>
      </w:r>
      <w:r>
        <w:rPr>
          <w:highlight w:val="none"/>
        </w:rPr>
        <w:fldChar w:fldCharType="end"/>
      </w:r>
      <w:r>
        <w:rPr>
          <w:rFonts w:hint="eastAsia" w:ascii="微软雅黑" w:hAnsi="微软雅黑" w:eastAsia="微软雅黑" w:cs="微软雅黑"/>
          <w:color w:val="auto"/>
          <w:szCs w:val="21"/>
          <w:highlight w:val="none"/>
        </w:rPr>
        <w:fldChar w:fldCharType="end"/>
      </w:r>
    </w:p>
    <w:p w14:paraId="5621DAB3">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_Toc6062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一、比选费用</w:t>
      </w:r>
      <w:r>
        <w:rPr>
          <w:highlight w:val="none"/>
        </w:rPr>
        <w:tab/>
      </w:r>
      <w:r>
        <w:rPr>
          <w:highlight w:val="none"/>
        </w:rPr>
        <w:fldChar w:fldCharType="begin"/>
      </w:r>
      <w:r>
        <w:rPr>
          <w:highlight w:val="none"/>
        </w:rPr>
        <w:instrText xml:space="preserve"> PAGEREF _Toc6062 \h </w:instrText>
      </w:r>
      <w:r>
        <w:rPr>
          <w:highlight w:val="none"/>
        </w:rPr>
        <w:fldChar w:fldCharType="separate"/>
      </w:r>
      <w:r>
        <w:rPr>
          <w:highlight w:val="none"/>
        </w:rPr>
        <w:t>- 23 -</w:t>
      </w:r>
      <w:r>
        <w:rPr>
          <w:highlight w:val="none"/>
        </w:rPr>
        <w:fldChar w:fldCharType="end"/>
      </w:r>
      <w:r>
        <w:rPr>
          <w:rFonts w:hint="eastAsia" w:ascii="微软雅黑" w:hAnsi="微软雅黑" w:eastAsia="微软雅黑" w:cs="微软雅黑"/>
          <w:color w:val="auto"/>
          <w:szCs w:val="21"/>
          <w:highlight w:val="none"/>
        </w:rPr>
        <w:fldChar w:fldCharType="end"/>
      </w:r>
    </w:p>
    <w:p w14:paraId="64D629BD">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_Toc27068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二、竞争性比选文件</w:t>
      </w:r>
      <w:r>
        <w:rPr>
          <w:highlight w:val="none"/>
        </w:rPr>
        <w:tab/>
      </w:r>
      <w:r>
        <w:rPr>
          <w:highlight w:val="none"/>
        </w:rPr>
        <w:fldChar w:fldCharType="begin"/>
      </w:r>
      <w:r>
        <w:rPr>
          <w:highlight w:val="none"/>
        </w:rPr>
        <w:instrText xml:space="preserve"> PAGEREF _Toc27068 \h </w:instrText>
      </w:r>
      <w:r>
        <w:rPr>
          <w:highlight w:val="none"/>
        </w:rPr>
        <w:fldChar w:fldCharType="separate"/>
      </w:r>
      <w:r>
        <w:rPr>
          <w:highlight w:val="none"/>
        </w:rPr>
        <w:t>- 23 -</w:t>
      </w:r>
      <w:r>
        <w:rPr>
          <w:highlight w:val="none"/>
        </w:rPr>
        <w:fldChar w:fldCharType="end"/>
      </w:r>
      <w:r>
        <w:rPr>
          <w:rFonts w:hint="eastAsia" w:ascii="微软雅黑" w:hAnsi="微软雅黑" w:eastAsia="微软雅黑" w:cs="微软雅黑"/>
          <w:color w:val="auto"/>
          <w:szCs w:val="21"/>
          <w:highlight w:val="none"/>
        </w:rPr>
        <w:fldChar w:fldCharType="end"/>
      </w:r>
    </w:p>
    <w:p w14:paraId="663A0B10">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_Toc5693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三、比选要求</w:t>
      </w:r>
      <w:r>
        <w:rPr>
          <w:highlight w:val="none"/>
        </w:rPr>
        <w:tab/>
      </w:r>
      <w:r>
        <w:rPr>
          <w:highlight w:val="none"/>
        </w:rPr>
        <w:fldChar w:fldCharType="begin"/>
      </w:r>
      <w:r>
        <w:rPr>
          <w:highlight w:val="none"/>
        </w:rPr>
        <w:instrText xml:space="preserve"> PAGEREF _Toc5693 \h </w:instrText>
      </w:r>
      <w:r>
        <w:rPr>
          <w:highlight w:val="none"/>
        </w:rPr>
        <w:fldChar w:fldCharType="separate"/>
      </w:r>
      <w:r>
        <w:rPr>
          <w:highlight w:val="none"/>
        </w:rPr>
        <w:t>- 23 -</w:t>
      </w:r>
      <w:r>
        <w:rPr>
          <w:highlight w:val="none"/>
        </w:rPr>
        <w:fldChar w:fldCharType="end"/>
      </w:r>
      <w:r>
        <w:rPr>
          <w:rFonts w:hint="eastAsia" w:ascii="微软雅黑" w:hAnsi="微软雅黑" w:eastAsia="微软雅黑" w:cs="微软雅黑"/>
          <w:color w:val="auto"/>
          <w:szCs w:val="21"/>
          <w:highlight w:val="none"/>
        </w:rPr>
        <w:fldChar w:fldCharType="end"/>
      </w:r>
    </w:p>
    <w:p w14:paraId="41F2A085">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_Toc30700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四、成交采购代理机构的确认和变更</w:t>
      </w:r>
      <w:r>
        <w:rPr>
          <w:highlight w:val="none"/>
        </w:rPr>
        <w:tab/>
      </w:r>
      <w:r>
        <w:rPr>
          <w:highlight w:val="none"/>
        </w:rPr>
        <w:fldChar w:fldCharType="begin"/>
      </w:r>
      <w:r>
        <w:rPr>
          <w:highlight w:val="none"/>
        </w:rPr>
        <w:instrText xml:space="preserve"> PAGEREF _Toc30700 \h </w:instrText>
      </w:r>
      <w:r>
        <w:rPr>
          <w:highlight w:val="none"/>
        </w:rPr>
        <w:fldChar w:fldCharType="separate"/>
      </w:r>
      <w:r>
        <w:rPr>
          <w:highlight w:val="none"/>
        </w:rPr>
        <w:t>- 24 -</w:t>
      </w:r>
      <w:r>
        <w:rPr>
          <w:highlight w:val="none"/>
        </w:rPr>
        <w:fldChar w:fldCharType="end"/>
      </w:r>
      <w:r>
        <w:rPr>
          <w:rFonts w:hint="eastAsia" w:ascii="微软雅黑" w:hAnsi="微软雅黑" w:eastAsia="微软雅黑" w:cs="微软雅黑"/>
          <w:color w:val="auto"/>
          <w:szCs w:val="21"/>
          <w:highlight w:val="none"/>
        </w:rPr>
        <w:fldChar w:fldCharType="end"/>
      </w:r>
    </w:p>
    <w:p w14:paraId="142A0BAB">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_Toc28602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五、成交通知</w:t>
      </w:r>
      <w:r>
        <w:rPr>
          <w:highlight w:val="none"/>
        </w:rPr>
        <w:tab/>
      </w:r>
      <w:r>
        <w:rPr>
          <w:highlight w:val="none"/>
        </w:rPr>
        <w:fldChar w:fldCharType="begin"/>
      </w:r>
      <w:r>
        <w:rPr>
          <w:highlight w:val="none"/>
        </w:rPr>
        <w:instrText xml:space="preserve"> PAGEREF _Toc28602 \h </w:instrText>
      </w:r>
      <w:r>
        <w:rPr>
          <w:highlight w:val="none"/>
        </w:rPr>
        <w:fldChar w:fldCharType="separate"/>
      </w:r>
      <w:r>
        <w:rPr>
          <w:highlight w:val="none"/>
        </w:rPr>
        <w:t>- 24 -</w:t>
      </w:r>
      <w:r>
        <w:rPr>
          <w:highlight w:val="none"/>
        </w:rPr>
        <w:fldChar w:fldCharType="end"/>
      </w:r>
      <w:r>
        <w:rPr>
          <w:rFonts w:hint="eastAsia" w:ascii="微软雅黑" w:hAnsi="微软雅黑" w:eastAsia="微软雅黑" w:cs="微软雅黑"/>
          <w:color w:val="auto"/>
          <w:szCs w:val="21"/>
          <w:highlight w:val="none"/>
        </w:rPr>
        <w:fldChar w:fldCharType="end"/>
      </w:r>
    </w:p>
    <w:p w14:paraId="249DF7AF">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_Toc31344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六、签订合同</w:t>
      </w:r>
      <w:r>
        <w:rPr>
          <w:highlight w:val="none"/>
        </w:rPr>
        <w:tab/>
      </w:r>
      <w:r>
        <w:rPr>
          <w:highlight w:val="none"/>
        </w:rPr>
        <w:fldChar w:fldCharType="begin"/>
      </w:r>
      <w:r>
        <w:rPr>
          <w:highlight w:val="none"/>
        </w:rPr>
        <w:instrText xml:space="preserve"> PAGEREF _Toc31344 \h </w:instrText>
      </w:r>
      <w:r>
        <w:rPr>
          <w:highlight w:val="none"/>
        </w:rPr>
        <w:fldChar w:fldCharType="separate"/>
      </w:r>
      <w:r>
        <w:rPr>
          <w:highlight w:val="none"/>
        </w:rPr>
        <w:t>- 24 -</w:t>
      </w:r>
      <w:r>
        <w:rPr>
          <w:highlight w:val="none"/>
        </w:rPr>
        <w:fldChar w:fldCharType="end"/>
      </w:r>
      <w:r>
        <w:rPr>
          <w:rFonts w:hint="eastAsia" w:ascii="微软雅黑" w:hAnsi="微软雅黑" w:eastAsia="微软雅黑" w:cs="微软雅黑"/>
          <w:color w:val="auto"/>
          <w:szCs w:val="21"/>
          <w:highlight w:val="none"/>
        </w:rPr>
        <w:fldChar w:fldCharType="end"/>
      </w:r>
    </w:p>
    <w:p w14:paraId="3B7116C5">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_Toc27100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一、响应文件封面</w:t>
      </w:r>
      <w:r>
        <w:rPr>
          <w:highlight w:val="none"/>
        </w:rPr>
        <w:tab/>
      </w:r>
      <w:r>
        <w:rPr>
          <w:highlight w:val="none"/>
        </w:rPr>
        <w:fldChar w:fldCharType="begin"/>
      </w:r>
      <w:r>
        <w:rPr>
          <w:highlight w:val="none"/>
        </w:rPr>
        <w:instrText xml:space="preserve"> PAGEREF _Toc27100 \h </w:instrText>
      </w:r>
      <w:r>
        <w:rPr>
          <w:highlight w:val="none"/>
        </w:rPr>
        <w:fldChar w:fldCharType="separate"/>
      </w:r>
      <w:r>
        <w:rPr>
          <w:highlight w:val="none"/>
        </w:rPr>
        <w:t>- 27 -</w:t>
      </w:r>
      <w:r>
        <w:rPr>
          <w:highlight w:val="none"/>
        </w:rPr>
        <w:fldChar w:fldCharType="end"/>
      </w:r>
      <w:r>
        <w:rPr>
          <w:rFonts w:hint="eastAsia" w:ascii="微软雅黑" w:hAnsi="微软雅黑" w:eastAsia="微软雅黑" w:cs="微软雅黑"/>
          <w:color w:val="auto"/>
          <w:szCs w:val="21"/>
          <w:highlight w:val="none"/>
        </w:rPr>
        <w:fldChar w:fldCharType="end"/>
      </w:r>
    </w:p>
    <w:p w14:paraId="768A289F">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_Toc31520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二、经济部分</w:t>
      </w:r>
      <w:r>
        <w:rPr>
          <w:highlight w:val="none"/>
        </w:rPr>
        <w:tab/>
      </w:r>
      <w:r>
        <w:rPr>
          <w:highlight w:val="none"/>
        </w:rPr>
        <w:fldChar w:fldCharType="begin"/>
      </w:r>
      <w:r>
        <w:rPr>
          <w:highlight w:val="none"/>
        </w:rPr>
        <w:instrText xml:space="preserve"> PAGEREF _Toc31520 \h </w:instrText>
      </w:r>
      <w:r>
        <w:rPr>
          <w:highlight w:val="none"/>
        </w:rPr>
        <w:fldChar w:fldCharType="separate"/>
      </w:r>
      <w:r>
        <w:rPr>
          <w:highlight w:val="none"/>
        </w:rPr>
        <w:t>- 28 -</w:t>
      </w:r>
      <w:r>
        <w:rPr>
          <w:highlight w:val="none"/>
        </w:rPr>
        <w:fldChar w:fldCharType="end"/>
      </w:r>
      <w:r>
        <w:rPr>
          <w:rFonts w:hint="eastAsia" w:ascii="微软雅黑" w:hAnsi="微软雅黑" w:eastAsia="微软雅黑" w:cs="微软雅黑"/>
          <w:color w:val="auto"/>
          <w:szCs w:val="21"/>
          <w:highlight w:val="none"/>
        </w:rPr>
        <w:fldChar w:fldCharType="end"/>
      </w:r>
    </w:p>
    <w:p w14:paraId="247DC5F0">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_Toc15920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三、服务部分</w:t>
      </w:r>
      <w:r>
        <w:rPr>
          <w:highlight w:val="none"/>
        </w:rPr>
        <w:tab/>
      </w:r>
      <w:r>
        <w:rPr>
          <w:highlight w:val="none"/>
        </w:rPr>
        <w:fldChar w:fldCharType="begin"/>
      </w:r>
      <w:r>
        <w:rPr>
          <w:highlight w:val="none"/>
        </w:rPr>
        <w:instrText xml:space="preserve"> PAGEREF _Toc15920 \h </w:instrText>
      </w:r>
      <w:r>
        <w:rPr>
          <w:highlight w:val="none"/>
        </w:rPr>
        <w:fldChar w:fldCharType="separate"/>
      </w:r>
      <w:r>
        <w:rPr>
          <w:highlight w:val="none"/>
        </w:rPr>
        <w:t>- 29 -</w:t>
      </w:r>
      <w:r>
        <w:rPr>
          <w:highlight w:val="none"/>
        </w:rPr>
        <w:fldChar w:fldCharType="end"/>
      </w:r>
      <w:r>
        <w:rPr>
          <w:rFonts w:hint="eastAsia" w:ascii="微软雅黑" w:hAnsi="微软雅黑" w:eastAsia="微软雅黑" w:cs="微软雅黑"/>
          <w:color w:val="auto"/>
          <w:szCs w:val="21"/>
          <w:highlight w:val="none"/>
        </w:rPr>
        <w:fldChar w:fldCharType="end"/>
      </w:r>
    </w:p>
    <w:p w14:paraId="752A4322">
      <w:pPr>
        <w:pStyle w:val="7"/>
        <w:tabs>
          <w:tab w:val="right" w:leader="dot" w:pos="9412"/>
        </w:tabs>
        <w:rPr>
          <w:highlight w:val="none"/>
        </w:rPr>
      </w:pPr>
      <w:r>
        <w:rPr>
          <w:rFonts w:hint="eastAsia" w:ascii="微软雅黑" w:hAnsi="微软雅黑" w:eastAsia="微软雅黑" w:cs="微软雅黑"/>
          <w:color w:val="auto"/>
          <w:szCs w:val="21"/>
          <w:highlight w:val="none"/>
        </w:rPr>
        <w:fldChar w:fldCharType="begin"/>
      </w:r>
      <w:r>
        <w:rPr>
          <w:rFonts w:hint="eastAsia" w:ascii="微软雅黑" w:hAnsi="微软雅黑" w:eastAsia="微软雅黑" w:cs="微软雅黑"/>
          <w:szCs w:val="21"/>
          <w:highlight w:val="none"/>
        </w:rPr>
        <w:instrText xml:space="preserve"> HYPERLINK \l _Toc2555 </w:instrText>
      </w:r>
      <w:r>
        <w:rPr>
          <w:rFonts w:hint="eastAsia" w:ascii="微软雅黑" w:hAnsi="微软雅黑" w:eastAsia="微软雅黑" w:cs="微软雅黑"/>
          <w:szCs w:val="21"/>
          <w:highlight w:val="none"/>
        </w:rPr>
        <w:fldChar w:fldCharType="separate"/>
      </w:r>
      <w:r>
        <w:rPr>
          <w:rFonts w:hint="eastAsia" w:ascii="微软雅黑" w:hAnsi="微软雅黑" w:eastAsia="微软雅黑" w:cs="微软雅黑"/>
          <w:szCs w:val="24"/>
          <w:highlight w:val="none"/>
        </w:rPr>
        <w:t>四、资格条件及其他</w:t>
      </w:r>
      <w:r>
        <w:rPr>
          <w:highlight w:val="none"/>
        </w:rPr>
        <w:tab/>
      </w:r>
      <w:r>
        <w:rPr>
          <w:highlight w:val="none"/>
        </w:rPr>
        <w:fldChar w:fldCharType="begin"/>
      </w:r>
      <w:r>
        <w:rPr>
          <w:highlight w:val="none"/>
        </w:rPr>
        <w:instrText xml:space="preserve"> PAGEREF _Toc2555 \h </w:instrText>
      </w:r>
      <w:r>
        <w:rPr>
          <w:highlight w:val="none"/>
        </w:rPr>
        <w:fldChar w:fldCharType="separate"/>
      </w:r>
      <w:r>
        <w:rPr>
          <w:highlight w:val="none"/>
        </w:rPr>
        <w:t>- 30 -</w:t>
      </w:r>
      <w:r>
        <w:rPr>
          <w:highlight w:val="none"/>
        </w:rPr>
        <w:fldChar w:fldCharType="end"/>
      </w:r>
      <w:r>
        <w:rPr>
          <w:rFonts w:hint="eastAsia" w:ascii="微软雅黑" w:hAnsi="微软雅黑" w:eastAsia="微软雅黑" w:cs="微软雅黑"/>
          <w:color w:val="auto"/>
          <w:szCs w:val="21"/>
          <w:highlight w:val="none"/>
        </w:rPr>
        <w:fldChar w:fldCharType="end"/>
      </w:r>
    </w:p>
    <w:p w14:paraId="226742EE">
      <w:pPr>
        <w:pStyle w:val="13"/>
        <w:tabs>
          <w:tab w:val="right" w:leader="dot" w:pos="9402"/>
        </w:tabs>
        <w:spacing w:line="480" w:lineRule="exact"/>
        <w:ind w:left="560"/>
        <w:jc w:val="center"/>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fldChar w:fldCharType="end"/>
      </w:r>
    </w:p>
    <w:p w14:paraId="050C8E5B">
      <w:pPr>
        <w:rPr>
          <w:color w:val="auto"/>
          <w:highlight w:val="none"/>
        </w:rPr>
      </w:pPr>
    </w:p>
    <w:p w14:paraId="1C2BE853">
      <w:pPr>
        <w:rPr>
          <w:color w:val="auto"/>
          <w:highlight w:val="none"/>
        </w:rPr>
      </w:pPr>
    </w:p>
    <w:p w14:paraId="02B3081D">
      <w:pPr>
        <w:tabs>
          <w:tab w:val="left" w:pos="7023"/>
        </w:tabs>
        <w:jc w:val="left"/>
        <w:rPr>
          <w:color w:val="auto"/>
          <w:highlight w:val="none"/>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docGrid w:linePitch="380" w:charSpace="-5735"/>
        </w:sectPr>
      </w:pPr>
      <w:r>
        <w:rPr>
          <w:rFonts w:hint="eastAsia"/>
          <w:color w:val="auto"/>
          <w:highlight w:val="none"/>
        </w:rPr>
        <w:tab/>
      </w:r>
    </w:p>
    <w:p w14:paraId="6963DF15">
      <w:pPr>
        <w:pStyle w:val="2"/>
        <w:spacing w:line="360" w:lineRule="auto"/>
        <w:jc w:val="center"/>
        <w:rPr>
          <w:rFonts w:hint="eastAsia" w:ascii="微软雅黑" w:hAnsi="微软雅黑" w:eastAsia="微软雅黑" w:cs="微软雅黑"/>
          <w:b w:val="0"/>
          <w:color w:val="auto"/>
          <w:szCs w:val="30"/>
          <w:highlight w:val="none"/>
        </w:rPr>
      </w:pPr>
      <w:bookmarkStart w:id="0" w:name="_Toc12789052"/>
      <w:bookmarkStart w:id="1" w:name="_Toc11641050"/>
      <w:bookmarkStart w:id="2" w:name="_Toc5709"/>
      <w:r>
        <w:rPr>
          <w:rFonts w:hint="eastAsia" w:ascii="微软雅黑" w:hAnsi="微软雅黑" w:eastAsia="微软雅黑" w:cs="微软雅黑"/>
          <w:b w:val="0"/>
          <w:color w:val="auto"/>
          <w:sz w:val="36"/>
          <w:szCs w:val="30"/>
          <w:highlight w:val="none"/>
        </w:rPr>
        <w:t>第一篇  比选邀请书</w:t>
      </w:r>
      <w:bookmarkEnd w:id="0"/>
      <w:bookmarkEnd w:id="1"/>
      <w:bookmarkEnd w:id="2"/>
    </w:p>
    <w:p w14:paraId="721A7D34">
      <w:pPr>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为了公开、公平、公正、高效地完成</w:t>
      </w:r>
      <w:r>
        <w:rPr>
          <w:rFonts w:hint="eastAsia" w:ascii="微软雅黑" w:hAnsi="微软雅黑" w:eastAsia="微软雅黑" w:cs="微软雅黑"/>
          <w:color w:val="auto"/>
          <w:sz w:val="24"/>
          <w:szCs w:val="24"/>
          <w:highlight w:val="none"/>
          <w:lang w:eastAsia="zh-CN"/>
        </w:rPr>
        <w:t>重庆市两江新区人民医院</w:t>
      </w:r>
      <w:r>
        <w:rPr>
          <w:rFonts w:hint="eastAsia" w:ascii="微软雅黑" w:hAnsi="微软雅黑" w:eastAsia="微软雅黑" w:cs="微软雅黑"/>
          <w:color w:val="auto"/>
          <w:sz w:val="24"/>
          <w:szCs w:val="24"/>
          <w:highlight w:val="none"/>
        </w:rPr>
        <w:t>采购项目招标代理服务工作，我单位特进行竞争性比选,欢迎各采购代理机构参与比选。</w:t>
      </w:r>
    </w:p>
    <w:p w14:paraId="3C460A59">
      <w:pPr>
        <w:pStyle w:val="3"/>
        <w:spacing w:line="400" w:lineRule="exact"/>
        <w:rPr>
          <w:rFonts w:hint="eastAsia" w:ascii="微软雅黑" w:hAnsi="微软雅黑" w:eastAsia="微软雅黑" w:cs="微软雅黑"/>
          <w:color w:val="auto"/>
          <w:sz w:val="24"/>
          <w:szCs w:val="24"/>
          <w:highlight w:val="none"/>
        </w:rPr>
      </w:pPr>
      <w:bookmarkStart w:id="3" w:name="_Toc317775175"/>
      <w:bookmarkStart w:id="4" w:name="_Toc4940"/>
      <w:bookmarkStart w:id="5" w:name="_Toc313893526"/>
      <w:r>
        <w:rPr>
          <w:rFonts w:hint="eastAsia" w:ascii="微软雅黑" w:hAnsi="微软雅黑" w:eastAsia="微软雅黑" w:cs="微软雅黑"/>
          <w:color w:val="auto"/>
          <w:sz w:val="24"/>
          <w:szCs w:val="24"/>
          <w:highlight w:val="none"/>
        </w:rPr>
        <w:t>一、竞争性比选内容</w:t>
      </w:r>
      <w:bookmarkEnd w:id="3"/>
      <w:bookmarkEnd w:id="4"/>
      <w:bookmarkEnd w:id="5"/>
    </w:p>
    <w:tbl>
      <w:tblPr>
        <w:tblStyle w:val="15"/>
        <w:tblpPr w:leftFromText="180" w:rightFromText="180" w:vertAnchor="text" w:horzAnchor="page" w:tblpX="1535"/>
        <w:tblOverlap w:val="never"/>
        <w:tblW w:w="10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400"/>
        <w:gridCol w:w="1007"/>
        <w:gridCol w:w="2400"/>
        <w:gridCol w:w="1920"/>
        <w:gridCol w:w="2544"/>
      </w:tblGrid>
      <w:tr w14:paraId="736C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086" w:type="dxa"/>
            <w:tcBorders>
              <w:top w:val="single" w:color="auto" w:sz="4" w:space="0"/>
              <w:left w:val="single" w:color="auto" w:sz="4" w:space="0"/>
              <w:right w:val="single" w:color="auto" w:sz="4" w:space="0"/>
            </w:tcBorders>
            <w:vAlign w:val="center"/>
          </w:tcPr>
          <w:p w14:paraId="62E161B0">
            <w:pPr>
              <w:widowControl/>
              <w:jc w:val="center"/>
              <w:rPr>
                <w:rFonts w:hint="eastAsia" w:ascii="微软雅黑" w:hAnsi="微软雅黑" w:eastAsia="微软雅黑" w:cs="微软雅黑"/>
                <w:b/>
                <w:bCs/>
                <w:color w:val="auto"/>
                <w:kern w:val="0"/>
                <w:sz w:val="21"/>
                <w:szCs w:val="21"/>
                <w:highlight w:val="none"/>
              </w:rPr>
            </w:pPr>
            <w:bookmarkStart w:id="6" w:name="_Toc4122"/>
            <w:bookmarkStart w:id="7" w:name="_Toc373860293"/>
            <w:bookmarkStart w:id="8" w:name="_Toc317775178"/>
            <w:r>
              <w:rPr>
                <w:rFonts w:hint="eastAsia" w:ascii="微软雅黑" w:hAnsi="微软雅黑" w:eastAsia="微软雅黑" w:cs="微软雅黑"/>
                <w:b/>
                <w:bCs/>
                <w:color w:val="auto"/>
                <w:kern w:val="0"/>
                <w:sz w:val="21"/>
                <w:szCs w:val="21"/>
                <w:highlight w:val="none"/>
              </w:rPr>
              <w:t>项目名称</w:t>
            </w:r>
          </w:p>
        </w:tc>
        <w:tc>
          <w:tcPr>
            <w:tcW w:w="1400" w:type="dxa"/>
            <w:tcBorders>
              <w:top w:val="single" w:color="auto" w:sz="4" w:space="0"/>
              <w:left w:val="single" w:color="auto" w:sz="4" w:space="0"/>
              <w:right w:val="single" w:color="auto" w:sz="4" w:space="0"/>
            </w:tcBorders>
            <w:vAlign w:val="center"/>
          </w:tcPr>
          <w:p w14:paraId="5D8FFDD8">
            <w:pPr>
              <w:snapToGrid w:val="0"/>
              <w:spacing w:line="560" w:lineRule="exact"/>
              <w:jc w:val="center"/>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color w:val="auto"/>
                <w:kern w:val="0"/>
                <w:sz w:val="21"/>
                <w:szCs w:val="21"/>
                <w:highlight w:val="none"/>
              </w:rPr>
              <w:t>最高限价</w:t>
            </w:r>
          </w:p>
        </w:tc>
        <w:tc>
          <w:tcPr>
            <w:tcW w:w="1007" w:type="dxa"/>
            <w:tcBorders>
              <w:top w:val="single" w:color="auto" w:sz="4" w:space="0"/>
              <w:left w:val="single" w:color="auto" w:sz="4" w:space="0"/>
              <w:right w:val="single" w:color="auto" w:sz="4" w:space="0"/>
            </w:tcBorders>
            <w:vAlign w:val="center"/>
          </w:tcPr>
          <w:p w14:paraId="6ACD4386">
            <w:pPr>
              <w:snapToGrid w:val="0"/>
              <w:spacing w:line="560" w:lineRule="exact"/>
              <w:jc w:val="center"/>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color w:val="auto"/>
                <w:kern w:val="0"/>
                <w:sz w:val="21"/>
                <w:szCs w:val="21"/>
                <w:highlight w:val="none"/>
              </w:rPr>
              <w:t>成交数量</w:t>
            </w:r>
          </w:p>
        </w:tc>
        <w:tc>
          <w:tcPr>
            <w:tcW w:w="2400" w:type="dxa"/>
            <w:tcBorders>
              <w:top w:val="single" w:color="auto" w:sz="4" w:space="0"/>
              <w:left w:val="single" w:color="auto" w:sz="4" w:space="0"/>
              <w:right w:val="single" w:color="auto" w:sz="4" w:space="0"/>
            </w:tcBorders>
            <w:vAlign w:val="center"/>
          </w:tcPr>
          <w:p w14:paraId="56F28682">
            <w:pPr>
              <w:snapToGrid w:val="0"/>
              <w:spacing w:line="560" w:lineRule="exact"/>
              <w:jc w:val="center"/>
              <w:rPr>
                <w:rFonts w:hint="eastAsia" w:ascii="微软雅黑" w:hAnsi="微软雅黑" w:eastAsia="微软雅黑" w:cs="微软雅黑"/>
                <w:b/>
                <w:color w:val="auto"/>
                <w:kern w:val="0"/>
                <w:sz w:val="21"/>
                <w:szCs w:val="21"/>
                <w:highlight w:val="none"/>
              </w:rPr>
            </w:pPr>
            <w:r>
              <w:rPr>
                <w:rFonts w:hint="eastAsia" w:ascii="微软雅黑" w:hAnsi="微软雅黑" w:eastAsia="微软雅黑" w:cs="微软雅黑"/>
                <w:b/>
                <w:color w:val="auto"/>
                <w:kern w:val="0"/>
                <w:sz w:val="21"/>
                <w:szCs w:val="21"/>
                <w:highlight w:val="none"/>
              </w:rPr>
              <w:t>承接代理范围</w:t>
            </w:r>
          </w:p>
        </w:tc>
        <w:tc>
          <w:tcPr>
            <w:tcW w:w="1920" w:type="dxa"/>
            <w:tcBorders>
              <w:top w:val="single" w:color="auto" w:sz="4" w:space="0"/>
              <w:left w:val="single" w:color="auto" w:sz="4" w:space="0"/>
              <w:right w:val="single" w:color="auto" w:sz="4" w:space="0"/>
            </w:tcBorders>
            <w:vAlign w:val="center"/>
          </w:tcPr>
          <w:p w14:paraId="34E856E4">
            <w:pPr>
              <w:snapToGrid w:val="0"/>
              <w:spacing w:line="560" w:lineRule="exact"/>
              <w:jc w:val="center"/>
              <w:rPr>
                <w:color w:val="auto"/>
                <w:sz w:val="21"/>
                <w:szCs w:val="21"/>
                <w:highlight w:val="none"/>
              </w:rPr>
            </w:pPr>
            <w:r>
              <w:rPr>
                <w:rFonts w:hint="eastAsia" w:ascii="微软雅黑" w:hAnsi="微软雅黑" w:eastAsia="微软雅黑" w:cs="微软雅黑"/>
                <w:b/>
                <w:color w:val="auto"/>
                <w:kern w:val="0"/>
                <w:sz w:val="21"/>
                <w:szCs w:val="21"/>
                <w:highlight w:val="none"/>
              </w:rPr>
              <w:t>服务时间</w:t>
            </w:r>
          </w:p>
        </w:tc>
        <w:tc>
          <w:tcPr>
            <w:tcW w:w="2544" w:type="dxa"/>
            <w:tcBorders>
              <w:top w:val="single" w:color="auto" w:sz="4" w:space="0"/>
              <w:left w:val="single" w:color="auto" w:sz="4" w:space="0"/>
              <w:right w:val="single" w:color="auto" w:sz="4" w:space="0"/>
            </w:tcBorders>
            <w:vAlign w:val="center"/>
          </w:tcPr>
          <w:p w14:paraId="43D2CAD7">
            <w:pPr>
              <w:snapToGrid w:val="0"/>
              <w:spacing w:line="560" w:lineRule="exact"/>
              <w:jc w:val="center"/>
              <w:rPr>
                <w:rFonts w:hint="eastAsia" w:ascii="微软雅黑" w:hAnsi="微软雅黑" w:eastAsia="微软雅黑" w:cs="微软雅黑"/>
                <w:b/>
                <w:color w:val="auto"/>
                <w:kern w:val="0"/>
                <w:sz w:val="21"/>
                <w:szCs w:val="21"/>
                <w:highlight w:val="none"/>
                <w:lang w:val="en-US" w:eastAsia="zh-CN"/>
              </w:rPr>
            </w:pPr>
            <w:r>
              <w:rPr>
                <w:rFonts w:hint="eastAsia" w:ascii="微软雅黑" w:hAnsi="微软雅黑" w:eastAsia="微软雅黑" w:cs="微软雅黑"/>
                <w:b/>
                <w:color w:val="auto"/>
                <w:kern w:val="0"/>
                <w:sz w:val="21"/>
                <w:szCs w:val="21"/>
                <w:highlight w:val="none"/>
                <w:lang w:val="en-US" w:eastAsia="zh-CN"/>
              </w:rPr>
              <w:t>备注</w:t>
            </w:r>
          </w:p>
        </w:tc>
      </w:tr>
      <w:tr w14:paraId="7F75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3" w:hRule="atLeast"/>
          <w:jc w:val="center"/>
        </w:trPr>
        <w:tc>
          <w:tcPr>
            <w:tcW w:w="1086" w:type="dxa"/>
            <w:tcBorders>
              <w:top w:val="single" w:color="auto" w:sz="4" w:space="0"/>
              <w:left w:val="single" w:color="auto" w:sz="4" w:space="0"/>
              <w:bottom w:val="single" w:color="auto" w:sz="4" w:space="0"/>
              <w:right w:val="single" w:color="auto" w:sz="4" w:space="0"/>
            </w:tcBorders>
            <w:vAlign w:val="center"/>
          </w:tcPr>
          <w:p w14:paraId="378B8629">
            <w:pPr>
              <w:spacing w:line="420" w:lineRule="exact"/>
              <w:jc w:val="center"/>
              <w:rPr>
                <w:rFonts w:hint="eastAsia" w:ascii="微软雅黑" w:hAnsi="微软雅黑" w:eastAsia="微软雅黑" w:cs="微软雅黑"/>
                <w:color w:val="auto"/>
                <w:sz w:val="21"/>
                <w:szCs w:val="21"/>
                <w:highlight w:val="none"/>
              </w:rPr>
            </w:pPr>
            <w:bookmarkStart w:id="9" w:name="_Hlk344477914"/>
            <w:r>
              <w:rPr>
                <w:rFonts w:hint="eastAsia" w:ascii="微软雅黑" w:hAnsi="微软雅黑" w:eastAsia="微软雅黑" w:cs="微软雅黑"/>
                <w:color w:val="auto"/>
                <w:sz w:val="21"/>
                <w:szCs w:val="21"/>
                <w:highlight w:val="none"/>
                <w:lang w:eastAsia="zh-CN"/>
              </w:rPr>
              <w:t>重庆市两江新区人民医院</w:t>
            </w:r>
            <w:r>
              <w:rPr>
                <w:rFonts w:hint="eastAsia" w:ascii="微软雅黑" w:hAnsi="微软雅黑" w:eastAsia="微软雅黑" w:cs="微软雅黑"/>
                <w:color w:val="auto"/>
                <w:sz w:val="21"/>
                <w:szCs w:val="21"/>
                <w:highlight w:val="none"/>
              </w:rPr>
              <w:t>招标代理服务机构遴选项目</w:t>
            </w:r>
          </w:p>
        </w:tc>
        <w:tc>
          <w:tcPr>
            <w:tcW w:w="1400" w:type="dxa"/>
            <w:tcBorders>
              <w:top w:val="single" w:color="auto" w:sz="4" w:space="0"/>
              <w:left w:val="single" w:color="auto" w:sz="4" w:space="0"/>
              <w:bottom w:val="single" w:color="auto" w:sz="4" w:space="0"/>
              <w:right w:val="single" w:color="auto" w:sz="4" w:space="0"/>
            </w:tcBorders>
            <w:vAlign w:val="center"/>
          </w:tcPr>
          <w:p w14:paraId="570CBFC6">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 xml:space="preserve">参照计价格 </w:t>
            </w:r>
            <w:r>
              <w:rPr>
                <w:rFonts w:hint="eastAsia" w:ascii="微软雅黑" w:hAnsi="微软雅黑" w:eastAsia="微软雅黑" w:cs="微软雅黑"/>
                <w:color w:val="auto"/>
                <w:kern w:val="0"/>
                <w:sz w:val="21"/>
                <w:szCs w:val="21"/>
                <w:highlight w:val="none"/>
                <w:lang w:eastAsia="zh-CN"/>
              </w:rPr>
              <w:t>〔2002〕</w:t>
            </w:r>
            <w:r>
              <w:rPr>
                <w:rFonts w:hint="eastAsia" w:ascii="微软雅黑" w:hAnsi="微软雅黑" w:eastAsia="微软雅黑" w:cs="微软雅黑"/>
                <w:color w:val="auto"/>
                <w:kern w:val="0"/>
                <w:sz w:val="21"/>
                <w:szCs w:val="21"/>
                <w:highlight w:val="none"/>
              </w:rPr>
              <w:t>1980 号《招标代理服务收费标准》</w:t>
            </w:r>
          </w:p>
        </w:tc>
        <w:tc>
          <w:tcPr>
            <w:tcW w:w="1007" w:type="dxa"/>
            <w:tcBorders>
              <w:top w:val="single" w:color="auto" w:sz="4" w:space="0"/>
              <w:left w:val="single" w:color="auto" w:sz="4" w:space="0"/>
              <w:bottom w:val="single" w:color="auto" w:sz="4" w:space="0"/>
              <w:right w:val="single" w:color="auto" w:sz="4" w:space="0"/>
            </w:tcBorders>
            <w:vAlign w:val="center"/>
          </w:tcPr>
          <w:p w14:paraId="02D8E7AF">
            <w:pPr>
              <w:widowControl/>
              <w:spacing w:line="560" w:lineRule="exact"/>
              <w:jc w:val="center"/>
              <w:rPr>
                <w:rFonts w:hint="default" w:ascii="微软雅黑" w:hAnsi="微软雅黑" w:eastAsia="微软雅黑" w:cs="微软雅黑"/>
                <w:color w:val="auto"/>
                <w:kern w:val="0"/>
                <w:sz w:val="21"/>
                <w:szCs w:val="21"/>
                <w:highlight w:val="none"/>
                <w:lang w:val="en-US" w:eastAsia="zh-CN"/>
              </w:rPr>
            </w:pPr>
            <w:r>
              <w:rPr>
                <w:rFonts w:hint="default" w:ascii="微软雅黑" w:hAnsi="微软雅黑" w:eastAsia="微软雅黑" w:cs="微软雅黑"/>
                <w:color w:val="auto"/>
                <w:kern w:val="0"/>
                <w:sz w:val="21"/>
                <w:szCs w:val="21"/>
                <w:highlight w:val="none"/>
                <w:lang w:val="en-US" w:eastAsia="zh-CN"/>
              </w:rPr>
              <w:t>3</w:t>
            </w:r>
            <w:r>
              <w:rPr>
                <w:rFonts w:hint="eastAsia" w:ascii="微软雅黑" w:hAnsi="微软雅黑" w:eastAsia="微软雅黑" w:cs="微软雅黑"/>
                <w:color w:val="auto"/>
                <w:kern w:val="0"/>
                <w:sz w:val="21"/>
                <w:szCs w:val="21"/>
                <w:highlight w:val="none"/>
                <w:lang w:val="en-US" w:eastAsia="zh-CN"/>
              </w:rPr>
              <w:t>名</w:t>
            </w:r>
          </w:p>
        </w:tc>
        <w:tc>
          <w:tcPr>
            <w:tcW w:w="2400" w:type="dxa"/>
            <w:tcBorders>
              <w:top w:val="single" w:color="auto" w:sz="4" w:space="0"/>
              <w:left w:val="single" w:color="auto" w:sz="4" w:space="0"/>
              <w:bottom w:val="single" w:color="auto" w:sz="4" w:space="0"/>
              <w:right w:val="single" w:color="auto" w:sz="4" w:space="0"/>
            </w:tcBorders>
            <w:vAlign w:val="center"/>
          </w:tcPr>
          <w:p w14:paraId="7563D2B2">
            <w:pPr>
              <w:widowControl/>
              <w:spacing w:line="560" w:lineRule="exact"/>
              <w:jc w:val="left"/>
              <w:rPr>
                <w:rFonts w:hint="eastAsia" w:ascii="微软雅黑" w:hAnsi="微软雅黑" w:eastAsia="微软雅黑" w:cs="微软雅黑"/>
                <w:color w:val="auto"/>
                <w:kern w:val="0"/>
                <w:sz w:val="21"/>
                <w:szCs w:val="21"/>
                <w:highlight w:val="none"/>
              </w:rPr>
            </w:pPr>
            <w:bookmarkStart w:id="10" w:name="OLE_LINK1"/>
            <w:r>
              <w:rPr>
                <w:rFonts w:hint="eastAsia" w:ascii="微软雅黑" w:hAnsi="微软雅黑" w:eastAsia="微软雅黑" w:cs="微软雅黑"/>
                <w:color w:val="auto"/>
                <w:kern w:val="0"/>
                <w:sz w:val="21"/>
                <w:szCs w:val="21"/>
                <w:highlight w:val="none"/>
              </w:rPr>
              <w:t>单次50万元（不含）以下采购项目</w:t>
            </w:r>
            <w:r>
              <w:rPr>
                <w:rFonts w:hint="default" w:ascii="微软雅黑" w:hAnsi="微软雅黑" w:eastAsia="微软雅黑" w:cs="微软雅黑"/>
                <w:color w:val="auto"/>
                <w:kern w:val="0"/>
                <w:sz w:val="21"/>
                <w:szCs w:val="21"/>
                <w:highlight w:val="none"/>
                <w:lang w:val="en-US"/>
              </w:rPr>
              <w:t>（服务、货物、工程）</w:t>
            </w:r>
            <w:bookmarkEnd w:id="10"/>
          </w:p>
        </w:tc>
        <w:tc>
          <w:tcPr>
            <w:tcW w:w="1920" w:type="dxa"/>
            <w:tcBorders>
              <w:top w:val="single" w:color="auto" w:sz="4" w:space="0"/>
              <w:left w:val="single" w:color="auto" w:sz="4" w:space="0"/>
              <w:bottom w:val="single" w:color="auto" w:sz="4" w:space="0"/>
              <w:right w:val="single" w:color="auto" w:sz="4" w:space="0"/>
            </w:tcBorders>
            <w:vAlign w:val="center"/>
          </w:tcPr>
          <w:p w14:paraId="29FDA276">
            <w:pPr>
              <w:widowControl/>
              <w:spacing w:line="560" w:lineRule="exact"/>
              <w:jc w:val="center"/>
              <w:rPr>
                <w:rFonts w:hint="default" w:ascii="微软雅黑" w:hAnsi="微软雅黑" w:eastAsia="微软雅黑" w:cs="微软雅黑"/>
                <w:color w:val="auto"/>
                <w:kern w:val="0"/>
                <w:sz w:val="21"/>
                <w:szCs w:val="21"/>
                <w:highlight w:val="none"/>
                <w:lang w:val="en-US" w:eastAsia="zh-CN"/>
              </w:rPr>
            </w:pPr>
            <w:bookmarkStart w:id="11" w:name="OLE_LINK6"/>
            <w:r>
              <w:rPr>
                <w:rFonts w:hint="eastAsia" w:ascii="微软雅黑" w:hAnsi="微软雅黑" w:eastAsia="微软雅黑" w:cs="微软雅黑"/>
                <w:color w:val="auto"/>
                <w:kern w:val="0"/>
                <w:sz w:val="21"/>
                <w:szCs w:val="21"/>
                <w:highlight w:val="none"/>
              </w:rPr>
              <w:t>自合同签订之日起</w:t>
            </w:r>
            <w:bookmarkEnd w:id="11"/>
            <w:r>
              <w:rPr>
                <w:rFonts w:hint="eastAsia" w:ascii="微软雅黑" w:hAnsi="微软雅黑" w:eastAsia="微软雅黑" w:cs="微软雅黑"/>
                <w:color w:val="auto"/>
                <w:kern w:val="0"/>
                <w:sz w:val="21"/>
                <w:szCs w:val="21"/>
                <w:highlight w:val="none"/>
                <w:lang w:val="en-US" w:eastAsia="zh-CN"/>
              </w:rPr>
              <w:t>一年</w:t>
            </w:r>
          </w:p>
        </w:tc>
        <w:tc>
          <w:tcPr>
            <w:tcW w:w="2544" w:type="dxa"/>
            <w:tcBorders>
              <w:top w:val="single" w:color="auto" w:sz="4" w:space="0"/>
              <w:left w:val="single" w:color="auto" w:sz="4" w:space="0"/>
              <w:bottom w:val="single" w:color="auto" w:sz="4" w:space="0"/>
              <w:right w:val="single" w:color="auto" w:sz="4" w:space="0"/>
            </w:tcBorders>
            <w:vAlign w:val="center"/>
          </w:tcPr>
          <w:p w14:paraId="4D22F142">
            <w:pPr>
              <w:widowControl/>
              <w:spacing w:line="56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kern w:val="0"/>
                <w:sz w:val="21"/>
                <w:szCs w:val="21"/>
                <w:highlight w:val="none"/>
              </w:rPr>
              <w:t>按照评审排名先后，采用顺序轮候的方式开展委托事项。</w:t>
            </w:r>
          </w:p>
        </w:tc>
      </w:tr>
      <w:bookmarkEnd w:id="9"/>
    </w:tbl>
    <w:p w14:paraId="632A285A">
      <w:pPr>
        <w:pStyle w:val="3"/>
        <w:spacing w:line="400" w:lineRule="exact"/>
        <w:rPr>
          <w:rFonts w:hint="eastAsia" w:ascii="微软雅黑" w:hAnsi="微软雅黑" w:eastAsia="微软雅黑" w:cs="微软雅黑"/>
          <w:color w:val="auto"/>
          <w:sz w:val="24"/>
          <w:szCs w:val="24"/>
          <w:highlight w:val="none"/>
        </w:rPr>
      </w:pPr>
    </w:p>
    <w:p w14:paraId="29A21CD1">
      <w:pPr>
        <w:pStyle w:val="3"/>
        <w:spacing w:line="40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二、采购代理机构资格条件</w:t>
      </w:r>
      <w:bookmarkEnd w:id="6"/>
    </w:p>
    <w:p w14:paraId="6F6EE974">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采购代理机构是指向采购人提供货物、工程或者服务的法人、其他组织。合格的采购代理机构应符合政府采购法第二十二条规定的基本条件，同时符合根据该项目特殊要求设置的特定资格条件。</w:t>
      </w:r>
    </w:p>
    <w:p w14:paraId="4FEF5DD7">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（一）基本资格条件</w:t>
      </w:r>
    </w:p>
    <w:p w14:paraId="30FF44D0">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1.具有独立承担民事责任的能力；</w:t>
      </w:r>
    </w:p>
    <w:p w14:paraId="4634A66C">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2.具有良好的商业信誉和健全的财务会计制度；</w:t>
      </w:r>
    </w:p>
    <w:p w14:paraId="5B65E412">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3.具有履行合同所必需的设备和专业技术能力；</w:t>
      </w:r>
    </w:p>
    <w:p w14:paraId="05FCF1E8">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4.有依法缴纳税收和社会保障资金的良好记录；</w:t>
      </w:r>
    </w:p>
    <w:p w14:paraId="35F08862">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5.参加政府采购活动前三年内，在经营活动中没有重大违法记录；</w:t>
      </w:r>
    </w:p>
    <w:p w14:paraId="79A2B030">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6.法律、行政法规规定的其他条件。</w:t>
      </w:r>
    </w:p>
    <w:p w14:paraId="6FEACDB2">
      <w:pPr>
        <w:spacing w:line="520" w:lineRule="exact"/>
        <w:ind w:firstLine="440" w:firstLineChars="200"/>
        <w:rPr>
          <w:rFonts w:hint="default" w:ascii="微软雅黑" w:hAnsi="微软雅黑" w:eastAsia="微软雅黑" w:cs="微软雅黑"/>
          <w:color w:val="auto"/>
          <w:sz w:val="22"/>
          <w:szCs w:val="22"/>
          <w:highlight w:val="none"/>
          <w:lang w:val="en-US" w:eastAsia="zh-CN"/>
        </w:rPr>
      </w:pPr>
      <w:r>
        <w:rPr>
          <w:rFonts w:hint="eastAsia" w:ascii="微软雅黑" w:hAnsi="微软雅黑" w:eastAsia="微软雅黑" w:cs="微软雅黑"/>
          <w:color w:val="auto"/>
          <w:sz w:val="22"/>
          <w:szCs w:val="22"/>
          <w:highlight w:val="none"/>
        </w:rPr>
        <w:t>注：若供应商是总公司授权的分公司参与</w:t>
      </w:r>
      <w:r>
        <w:rPr>
          <w:rFonts w:hint="eastAsia" w:ascii="微软雅黑" w:hAnsi="微软雅黑" w:eastAsia="微软雅黑" w:cs="微软雅黑"/>
          <w:color w:val="auto"/>
          <w:sz w:val="22"/>
          <w:szCs w:val="22"/>
          <w:highlight w:val="none"/>
          <w:lang w:val="en-US" w:eastAsia="zh-CN"/>
        </w:rPr>
        <w:t>比选</w:t>
      </w:r>
      <w:r>
        <w:rPr>
          <w:rFonts w:hint="eastAsia" w:ascii="微软雅黑" w:hAnsi="微软雅黑" w:eastAsia="微软雅黑" w:cs="微软雅黑"/>
          <w:color w:val="auto"/>
          <w:sz w:val="22"/>
          <w:szCs w:val="22"/>
          <w:highlight w:val="none"/>
        </w:rPr>
        <w:t>，只接受总公司授权的一家分公司参与</w:t>
      </w:r>
      <w:r>
        <w:rPr>
          <w:rFonts w:hint="eastAsia" w:ascii="微软雅黑" w:hAnsi="微软雅黑" w:eastAsia="微软雅黑" w:cs="微软雅黑"/>
          <w:color w:val="auto"/>
          <w:sz w:val="22"/>
          <w:szCs w:val="22"/>
          <w:highlight w:val="none"/>
          <w:lang w:val="en-US" w:eastAsia="zh-CN"/>
        </w:rPr>
        <w:t>比选</w:t>
      </w:r>
      <w:r>
        <w:rPr>
          <w:rFonts w:hint="eastAsia" w:ascii="微软雅黑" w:hAnsi="微软雅黑" w:eastAsia="微软雅黑" w:cs="微软雅黑"/>
          <w:color w:val="auto"/>
          <w:sz w:val="22"/>
          <w:szCs w:val="22"/>
          <w:highlight w:val="none"/>
        </w:rPr>
        <w:t>（提供授权书原件）。若总公司授权多家分公司参与</w:t>
      </w:r>
      <w:r>
        <w:rPr>
          <w:rFonts w:hint="eastAsia" w:ascii="微软雅黑" w:hAnsi="微软雅黑" w:eastAsia="微软雅黑" w:cs="微软雅黑"/>
          <w:color w:val="auto"/>
          <w:sz w:val="22"/>
          <w:szCs w:val="22"/>
          <w:highlight w:val="none"/>
          <w:lang w:val="en-US" w:eastAsia="zh-CN"/>
        </w:rPr>
        <w:t>比选</w:t>
      </w:r>
      <w:r>
        <w:rPr>
          <w:rFonts w:hint="eastAsia" w:ascii="微软雅黑" w:hAnsi="微软雅黑" w:eastAsia="微软雅黑" w:cs="微软雅黑"/>
          <w:color w:val="auto"/>
          <w:sz w:val="22"/>
          <w:szCs w:val="22"/>
          <w:highlight w:val="none"/>
        </w:rPr>
        <w:t>的，被授权的所有分公司均为无效响应；若总公司也同时参与</w:t>
      </w:r>
      <w:r>
        <w:rPr>
          <w:rFonts w:hint="eastAsia" w:ascii="微软雅黑" w:hAnsi="微软雅黑" w:eastAsia="微软雅黑" w:cs="微软雅黑"/>
          <w:color w:val="auto"/>
          <w:sz w:val="22"/>
          <w:szCs w:val="22"/>
          <w:highlight w:val="none"/>
          <w:lang w:val="en-US" w:eastAsia="zh-CN"/>
        </w:rPr>
        <w:t>比选</w:t>
      </w:r>
      <w:r>
        <w:rPr>
          <w:rFonts w:hint="eastAsia" w:ascii="微软雅黑" w:hAnsi="微软雅黑" w:eastAsia="微软雅黑" w:cs="微软雅黑"/>
          <w:color w:val="auto"/>
          <w:sz w:val="22"/>
          <w:szCs w:val="22"/>
          <w:highlight w:val="none"/>
        </w:rPr>
        <w:t>的，总公司与被授权的所有分公司均为无效响应。</w:t>
      </w:r>
      <w:r>
        <w:rPr>
          <w:rFonts w:hint="eastAsia" w:ascii="微软雅黑" w:hAnsi="微软雅黑" w:eastAsia="微软雅黑" w:cs="微软雅黑"/>
          <w:color w:val="auto"/>
          <w:sz w:val="22"/>
          <w:szCs w:val="22"/>
          <w:highlight w:val="none"/>
          <w:lang w:val="en-US" w:eastAsia="zh-CN"/>
        </w:rPr>
        <w:t>总公司授权分公司参与比选的，除授权书外，响应文件可盖分公司公章。</w:t>
      </w:r>
    </w:p>
    <w:p w14:paraId="121F84C7">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（二）特定资格条件</w:t>
      </w:r>
    </w:p>
    <w:p w14:paraId="10F4A79F">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须入驻重庆市政府采购代理机构库（提供重庆市政府采购网相关截图并加盖公章）。</w:t>
      </w:r>
    </w:p>
    <w:p w14:paraId="11802881">
      <w:pPr>
        <w:pStyle w:val="3"/>
        <w:spacing w:line="480" w:lineRule="exact"/>
        <w:rPr>
          <w:rFonts w:hint="eastAsia" w:ascii="微软雅黑" w:hAnsi="微软雅黑" w:eastAsia="微软雅黑" w:cs="微软雅黑"/>
          <w:color w:val="auto"/>
          <w:sz w:val="24"/>
          <w:szCs w:val="24"/>
          <w:highlight w:val="none"/>
        </w:rPr>
      </w:pPr>
      <w:bookmarkStart w:id="12" w:name="_Toc12861"/>
      <w:r>
        <w:rPr>
          <w:rFonts w:hint="eastAsia" w:ascii="微软雅黑" w:hAnsi="微软雅黑" w:eastAsia="微软雅黑" w:cs="微软雅黑"/>
          <w:color w:val="auto"/>
          <w:sz w:val="24"/>
          <w:szCs w:val="24"/>
          <w:highlight w:val="none"/>
        </w:rPr>
        <w:t>三、比选有关说明</w:t>
      </w:r>
      <w:bookmarkEnd w:id="7"/>
      <w:bookmarkEnd w:id="12"/>
    </w:p>
    <w:bookmarkEnd w:id="8"/>
    <w:p w14:paraId="59DC252D">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w:t>
      </w:r>
      <w:bookmarkStart w:id="13" w:name="_Toc373860294"/>
      <w:r>
        <w:rPr>
          <w:rFonts w:hint="eastAsia" w:ascii="微软雅黑" w:hAnsi="微软雅黑" w:eastAsia="微软雅黑" w:cs="微软雅黑"/>
          <w:color w:val="auto"/>
          <w:sz w:val="24"/>
          <w:szCs w:val="24"/>
          <w:highlight w:val="none"/>
        </w:rPr>
        <w:t>凡有意参加的供应商，请于公告发布之日起至提交响应文件截止时间之前在</w:t>
      </w:r>
      <w:r>
        <w:rPr>
          <w:rFonts w:hint="eastAsia" w:ascii="微软雅黑" w:hAnsi="微软雅黑" w:eastAsia="微软雅黑" w:cs="微软雅黑"/>
          <w:color w:val="auto"/>
          <w:sz w:val="24"/>
          <w:szCs w:val="24"/>
          <w:highlight w:val="none"/>
          <w:lang w:eastAsia="zh-CN"/>
        </w:rPr>
        <w:t>重庆市两江新区人民医院</w:t>
      </w:r>
      <w:r>
        <w:rPr>
          <w:rFonts w:hint="eastAsia" w:ascii="微软雅黑" w:hAnsi="微软雅黑" w:eastAsia="微软雅黑" w:cs="微软雅黑"/>
          <w:color w:val="auto"/>
          <w:sz w:val="24"/>
          <w:szCs w:val="24"/>
          <w:highlight w:val="none"/>
        </w:rPr>
        <w:t>官网(https://www.ljxqrmyy.cn/index.shtml)自行下载本项目比选文件、补遗等比选前公布的所有项目资料，无论供应商下载与否，均视为已知晓所有文件实质性要求内容。</w:t>
      </w:r>
    </w:p>
    <w:p w14:paraId="5CCFAB18">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（二）竞争性比选公告期限：自采购公告发布之日起三个工作日。</w:t>
      </w:r>
    </w:p>
    <w:p w14:paraId="6138D1E4">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w:t>
      </w:r>
      <w:bookmarkStart w:id="14" w:name="_Toc14103901"/>
      <w:bookmarkStart w:id="15" w:name="_Toc14103821"/>
      <w:bookmarkStart w:id="16" w:name="_Toc14103757"/>
      <w:r>
        <w:rPr>
          <w:rFonts w:hint="eastAsia" w:ascii="微软雅黑" w:hAnsi="微软雅黑" w:eastAsia="微软雅黑" w:cs="微软雅黑"/>
          <w:color w:val="auto"/>
          <w:sz w:val="24"/>
          <w:szCs w:val="24"/>
          <w:highlight w:val="none"/>
        </w:rPr>
        <w:t>采购代理机构须</w:t>
      </w:r>
      <w:bookmarkEnd w:id="14"/>
      <w:bookmarkEnd w:id="15"/>
      <w:bookmarkEnd w:id="16"/>
      <w:bookmarkStart w:id="17" w:name="_Toc14103903"/>
      <w:bookmarkStart w:id="18" w:name="_Toc14103759"/>
      <w:bookmarkStart w:id="19" w:name="_Toc14103823"/>
      <w:r>
        <w:rPr>
          <w:rFonts w:hint="eastAsia" w:ascii="微软雅黑" w:hAnsi="微软雅黑" w:eastAsia="微软雅黑" w:cs="微软雅黑"/>
          <w:color w:val="auto"/>
          <w:sz w:val="24"/>
          <w:szCs w:val="24"/>
          <w:highlight w:val="none"/>
        </w:rPr>
        <w:t>按时递交投标文件</w:t>
      </w:r>
      <w:bookmarkEnd w:id="17"/>
      <w:bookmarkEnd w:id="18"/>
      <w:bookmarkEnd w:id="19"/>
      <w:r>
        <w:rPr>
          <w:rFonts w:hint="eastAsia" w:ascii="微软雅黑" w:hAnsi="微软雅黑" w:eastAsia="微软雅黑" w:cs="微软雅黑"/>
          <w:color w:val="auto"/>
          <w:sz w:val="24"/>
          <w:szCs w:val="24"/>
          <w:highlight w:val="none"/>
        </w:rPr>
        <w:t>。</w:t>
      </w:r>
    </w:p>
    <w:p w14:paraId="18EC8E1F">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（四）递交响应文件地点：重庆市两江新区人民医院科教楼</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01</w:t>
      </w:r>
    </w:p>
    <w:p w14:paraId="3A71DC3A">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（五）报名及响应文件递交开始时间：202</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年</w:t>
      </w:r>
      <w:r>
        <w:rPr>
          <w:rFonts w:hint="eastAsia" w:ascii="微软雅黑" w:hAnsi="微软雅黑" w:eastAsia="微软雅黑" w:cs="微软雅黑"/>
          <w:color w:val="auto"/>
          <w:sz w:val="24"/>
          <w:szCs w:val="24"/>
          <w:highlight w:val="none"/>
          <w:lang w:val="en-US" w:eastAsia="zh-CN"/>
        </w:rPr>
        <w:t>8</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9</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rPr>
        <w:t>0</w:t>
      </w:r>
    </w:p>
    <w:p w14:paraId="4381F8A3">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（六）报名及响应文件递交截止时间：202</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年</w:t>
      </w:r>
      <w:r>
        <w:rPr>
          <w:rFonts w:hint="eastAsia" w:ascii="微软雅黑" w:hAnsi="微软雅黑" w:eastAsia="微软雅黑" w:cs="微软雅黑"/>
          <w:color w:val="auto"/>
          <w:sz w:val="24"/>
          <w:szCs w:val="24"/>
          <w:highlight w:val="none"/>
          <w:lang w:val="en-US" w:eastAsia="zh-CN"/>
        </w:rPr>
        <w:t>8</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10</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0</w:t>
      </w:r>
      <w:r>
        <w:rPr>
          <w:rFonts w:hint="eastAsia" w:ascii="微软雅黑" w:hAnsi="微软雅黑" w:eastAsia="微软雅黑" w:cs="微软雅黑"/>
          <w:color w:val="auto"/>
          <w:sz w:val="24"/>
          <w:szCs w:val="24"/>
          <w:highlight w:val="none"/>
        </w:rPr>
        <w:t>0</w:t>
      </w:r>
    </w:p>
    <w:p w14:paraId="7492888B">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（七）比选开始时间：202</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年</w:t>
      </w:r>
      <w:r>
        <w:rPr>
          <w:rFonts w:hint="eastAsia" w:ascii="微软雅黑" w:hAnsi="微软雅黑" w:eastAsia="微软雅黑" w:cs="微软雅黑"/>
          <w:color w:val="auto"/>
          <w:sz w:val="24"/>
          <w:szCs w:val="24"/>
          <w:highlight w:val="none"/>
          <w:lang w:val="en-US" w:eastAsia="zh-CN"/>
        </w:rPr>
        <w:t>8</w:t>
      </w:r>
      <w:r>
        <w:rPr>
          <w:rFonts w:hint="eastAsia" w:ascii="微软雅黑" w:hAnsi="微软雅黑" w:eastAsia="微软雅黑" w:cs="微软雅黑"/>
          <w:color w:val="auto"/>
          <w:sz w:val="24"/>
          <w:szCs w:val="24"/>
          <w:highlight w:val="none"/>
        </w:rPr>
        <w:t>月</w:t>
      </w:r>
      <w:r>
        <w:rPr>
          <w:rFonts w:hint="eastAsia" w:ascii="微软雅黑" w:hAnsi="微软雅黑" w:eastAsia="微软雅黑" w:cs="微软雅黑"/>
          <w:color w:val="auto"/>
          <w:sz w:val="24"/>
          <w:szCs w:val="24"/>
          <w:highlight w:val="none"/>
          <w:lang w:val="en-US" w:eastAsia="zh-CN"/>
        </w:rPr>
        <w:t>6</w:t>
      </w:r>
      <w:r>
        <w:rPr>
          <w:rFonts w:hint="eastAsia" w:ascii="微软雅黑" w:hAnsi="微软雅黑" w:eastAsia="微软雅黑" w:cs="微软雅黑"/>
          <w:color w:val="auto"/>
          <w:sz w:val="24"/>
          <w:szCs w:val="24"/>
          <w:highlight w:val="none"/>
        </w:rPr>
        <w:t xml:space="preserve">日北京时间 </w:t>
      </w:r>
      <w:r>
        <w:rPr>
          <w:rFonts w:hint="eastAsia" w:ascii="微软雅黑" w:hAnsi="微软雅黑" w:eastAsia="微软雅黑" w:cs="微软雅黑"/>
          <w:color w:val="auto"/>
          <w:sz w:val="24"/>
          <w:szCs w:val="24"/>
          <w:highlight w:val="none"/>
          <w:lang w:val="en-US" w:eastAsia="zh-CN"/>
        </w:rPr>
        <w:t>10</w:t>
      </w:r>
      <w:r>
        <w:rPr>
          <w:rFonts w:hint="eastAsia" w:ascii="微软雅黑" w:hAnsi="微软雅黑" w:eastAsia="微软雅黑" w:cs="微软雅黑"/>
          <w:color w:val="auto"/>
          <w:sz w:val="24"/>
          <w:szCs w:val="24"/>
          <w:highlight w:val="none"/>
        </w:rPr>
        <w:t>:</w:t>
      </w:r>
      <w:r>
        <w:rPr>
          <w:rFonts w:hint="eastAsia" w:ascii="微软雅黑" w:hAnsi="微软雅黑" w:eastAsia="微软雅黑" w:cs="微软雅黑"/>
          <w:color w:val="auto"/>
          <w:sz w:val="24"/>
          <w:szCs w:val="24"/>
          <w:highlight w:val="none"/>
          <w:lang w:val="en-US" w:eastAsia="zh-CN"/>
        </w:rPr>
        <w:t>0</w:t>
      </w:r>
      <w:r>
        <w:rPr>
          <w:rFonts w:hint="eastAsia" w:ascii="微软雅黑" w:hAnsi="微软雅黑" w:eastAsia="微软雅黑" w:cs="微软雅黑"/>
          <w:color w:val="auto"/>
          <w:sz w:val="24"/>
          <w:szCs w:val="24"/>
          <w:highlight w:val="none"/>
        </w:rPr>
        <w:t>0。</w:t>
      </w:r>
    </w:p>
    <w:bookmarkEnd w:id="13"/>
    <w:p w14:paraId="597F6837">
      <w:pPr>
        <w:pStyle w:val="3"/>
        <w:spacing w:line="380" w:lineRule="exact"/>
        <w:rPr>
          <w:rFonts w:hint="eastAsia" w:ascii="微软雅黑" w:hAnsi="微软雅黑" w:eastAsia="微软雅黑" w:cs="微软雅黑"/>
          <w:color w:val="auto"/>
          <w:sz w:val="24"/>
          <w:szCs w:val="24"/>
          <w:highlight w:val="none"/>
        </w:rPr>
      </w:pPr>
      <w:bookmarkStart w:id="20" w:name="_Toc17448"/>
      <w:bookmarkStart w:id="21" w:name="_Toc26208"/>
      <w:r>
        <w:rPr>
          <w:rFonts w:hint="eastAsia" w:ascii="微软雅黑" w:hAnsi="微软雅黑" w:eastAsia="微软雅黑" w:cs="微软雅黑"/>
          <w:color w:val="auto"/>
          <w:sz w:val="24"/>
          <w:szCs w:val="24"/>
          <w:highlight w:val="none"/>
        </w:rPr>
        <w:t>四、其它有关规定</w:t>
      </w:r>
      <w:bookmarkEnd w:id="20"/>
      <w:bookmarkEnd w:id="21"/>
    </w:p>
    <w:p w14:paraId="05624426">
      <w:pPr>
        <w:snapToGrid w:val="0"/>
        <w:spacing w:line="3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（一）单位负责人为同一人或者存在直接控股、管理关系的不同采购代理机构，不得参加同一合同项下的采购活动，否则均为无效响应。</w:t>
      </w:r>
    </w:p>
    <w:p w14:paraId="0D1CF21C">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（二）为采购项目提供整体设计、规范编制或者项目管理、监理、检测等服务的采购代理机构，不得再参加该采购项目的其他采购活动。</w:t>
      </w:r>
    </w:p>
    <w:p w14:paraId="1B9E836F">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（三）本项目的补遗文件（如果有）在</w:t>
      </w:r>
      <w:r>
        <w:rPr>
          <w:rFonts w:hint="eastAsia" w:ascii="微软雅黑" w:hAnsi="微软雅黑" w:eastAsia="微软雅黑" w:cs="微软雅黑"/>
          <w:color w:val="auto"/>
          <w:sz w:val="24"/>
          <w:szCs w:val="24"/>
          <w:highlight w:val="none"/>
          <w:lang w:eastAsia="zh-CN"/>
        </w:rPr>
        <w:t>重庆市两江新区人民医院</w:t>
      </w:r>
      <w:r>
        <w:rPr>
          <w:rFonts w:hint="eastAsia" w:ascii="微软雅黑" w:hAnsi="微软雅黑" w:eastAsia="微软雅黑" w:cs="微软雅黑"/>
          <w:color w:val="auto"/>
          <w:sz w:val="24"/>
          <w:szCs w:val="24"/>
          <w:highlight w:val="none"/>
        </w:rPr>
        <w:t>官网上发布，请各采购代理机构注意下载；无论采购代理机构下载与否，均视同采购代理机构已知晓本项目补遗文件（如果有）的内容。</w:t>
      </w:r>
    </w:p>
    <w:p w14:paraId="50811A49">
      <w:pPr>
        <w:snapToGrid w:val="0"/>
        <w:spacing w:line="38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（四）超过比选响应文件截止时间递交的比选响应文件，恕不接收。</w:t>
      </w:r>
    </w:p>
    <w:p w14:paraId="19DF435D">
      <w:pPr>
        <w:snapToGrid w:val="0"/>
        <w:spacing w:line="3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（五）比选费用：无论比选结果如何，采购代理机构参与本项目比选的所有费用均应由采购代理机构自行承担。</w:t>
      </w:r>
    </w:p>
    <w:p w14:paraId="7C37E3CC">
      <w:pPr>
        <w:snapToGrid w:val="0"/>
        <w:spacing w:line="38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（六）本项目不接受联合体参与比选，否则按无效处理。</w:t>
      </w:r>
    </w:p>
    <w:p w14:paraId="1D8EC1CD">
      <w:pPr>
        <w:snapToGrid w:val="0"/>
        <w:spacing w:line="38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（七）本项目不接受合同分包，否则按无效处理。</w:t>
      </w:r>
    </w:p>
    <w:p w14:paraId="28166227">
      <w:pPr>
        <w:snapToGrid w:val="0"/>
        <w:spacing w:line="3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按照《财政部关于在政府采购活动中查询及使用信用记录有关问题的通知》财库〔2016〕125号，采购代理机构列入失信被执行人、重大税收违法案件当事人名单、政府采购严重违法失信行为记录名单及其他不符合《中华人民共和国政府采购法》第二十二条规定条件的采购代理机构，将拒绝其参与政府采购活动。</w:t>
      </w:r>
    </w:p>
    <w:p w14:paraId="2B32BC80">
      <w:pPr>
        <w:pStyle w:val="3"/>
        <w:spacing w:line="380" w:lineRule="exact"/>
        <w:rPr>
          <w:rFonts w:hint="eastAsia" w:ascii="微软雅黑" w:hAnsi="微软雅黑" w:eastAsia="微软雅黑" w:cs="微软雅黑"/>
          <w:color w:val="auto"/>
          <w:sz w:val="24"/>
          <w:szCs w:val="24"/>
          <w:highlight w:val="none"/>
        </w:rPr>
      </w:pPr>
      <w:bookmarkStart w:id="22" w:name="_Toc3517"/>
      <w:r>
        <w:rPr>
          <w:rFonts w:hint="eastAsia" w:ascii="微软雅黑" w:hAnsi="微软雅黑" w:eastAsia="微软雅黑" w:cs="微软雅黑"/>
          <w:color w:val="auto"/>
          <w:sz w:val="24"/>
          <w:szCs w:val="24"/>
          <w:highlight w:val="none"/>
        </w:rPr>
        <w:t>五、联系方式</w:t>
      </w:r>
      <w:bookmarkEnd w:id="22"/>
      <w:bookmarkStart w:id="128" w:name="_GoBack"/>
      <w:bookmarkEnd w:id="128"/>
    </w:p>
    <w:p w14:paraId="39D6D264">
      <w:pPr>
        <w:snapToGrid w:val="0"/>
        <w:spacing w:line="520" w:lineRule="exact"/>
        <w:ind w:firstLine="480" w:firstLineChars="200"/>
        <w:rPr>
          <w:rFonts w:hint="eastAsia" w:ascii="微软雅黑" w:hAnsi="微软雅黑" w:eastAsia="微软雅黑" w:cs="微软雅黑"/>
          <w:color w:val="auto"/>
          <w:sz w:val="24"/>
          <w:szCs w:val="24"/>
          <w:highlight w:val="none"/>
        </w:rPr>
      </w:pPr>
      <w:bookmarkStart w:id="23" w:name="OLE_LINK3"/>
      <w:r>
        <w:rPr>
          <w:rFonts w:hint="eastAsia" w:ascii="微软雅黑" w:hAnsi="微软雅黑" w:eastAsia="微软雅黑" w:cs="微软雅黑"/>
          <w:color w:val="auto"/>
          <w:sz w:val="24"/>
          <w:szCs w:val="24"/>
          <w:highlight w:val="none"/>
        </w:rPr>
        <w:t>（一）采购人：重庆市两江新区人民医院</w:t>
      </w:r>
    </w:p>
    <w:p w14:paraId="49691A6B">
      <w:pPr>
        <w:snapToGrid w:val="0"/>
        <w:spacing w:line="520" w:lineRule="exact"/>
        <w:ind w:firstLine="480" w:firstLineChars="20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联系人：</w:t>
      </w:r>
      <w:r>
        <w:rPr>
          <w:rFonts w:hint="eastAsia" w:ascii="微软雅黑" w:hAnsi="微软雅黑" w:eastAsia="微软雅黑" w:cs="微软雅黑"/>
          <w:color w:val="auto"/>
          <w:sz w:val="24"/>
          <w:szCs w:val="24"/>
          <w:highlight w:val="none"/>
          <w:lang w:val="en-US" w:eastAsia="zh-CN"/>
        </w:rPr>
        <w:t>王老师</w:t>
      </w:r>
    </w:p>
    <w:p w14:paraId="30E79A4B">
      <w:pPr>
        <w:snapToGrid w:val="0"/>
        <w:spacing w:line="520" w:lineRule="exact"/>
        <w:ind w:firstLine="480" w:firstLineChars="200"/>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rPr>
        <w:t>电  话：</w:t>
      </w:r>
      <w:r>
        <w:rPr>
          <w:rFonts w:hint="eastAsia" w:ascii="微软雅黑" w:hAnsi="微软雅黑" w:eastAsia="微软雅黑" w:cs="微软雅黑"/>
          <w:color w:val="auto"/>
          <w:sz w:val="24"/>
          <w:szCs w:val="24"/>
          <w:highlight w:val="none"/>
          <w:lang w:val="en-US" w:eastAsia="zh-CN"/>
        </w:rPr>
        <w:t>023-86791820</w:t>
      </w:r>
    </w:p>
    <w:p w14:paraId="31A4DAB1">
      <w:pPr>
        <w:snapToGrid w:val="0"/>
        <w:spacing w:line="520" w:lineRule="exact"/>
        <w:ind w:firstLine="480" w:firstLineChars="200"/>
        <w:rPr>
          <w:rFonts w:hint="eastAsia" w:ascii="微软雅黑" w:hAnsi="微软雅黑" w:eastAsia="微软雅黑" w:cs="微软雅黑"/>
          <w:color w:val="auto"/>
          <w:sz w:val="24"/>
          <w:szCs w:val="24"/>
          <w:highlight w:val="none"/>
        </w:rPr>
        <w:sectPr>
          <w:pgSz w:w="11907" w:h="16840"/>
          <w:pgMar w:top="1134" w:right="1418" w:bottom="1134" w:left="1418" w:header="964" w:footer="992" w:gutter="0"/>
          <w:pgNumType w:fmt="numberInDash"/>
          <w:cols w:space="720" w:num="1"/>
          <w:docGrid w:linePitch="312" w:charSpace="0"/>
        </w:sectPr>
      </w:pPr>
      <w:r>
        <w:rPr>
          <w:rFonts w:hint="eastAsia" w:ascii="微软雅黑" w:hAnsi="微软雅黑" w:eastAsia="微软雅黑" w:cs="微软雅黑"/>
          <w:color w:val="auto"/>
          <w:sz w:val="24"/>
          <w:szCs w:val="24"/>
          <w:highlight w:val="none"/>
        </w:rPr>
        <w:t>地  址：</w:t>
      </w:r>
      <w:r>
        <w:rPr>
          <w:rFonts w:hint="eastAsia" w:ascii="微软雅黑" w:hAnsi="微软雅黑" w:eastAsia="微软雅黑" w:cs="微软雅黑"/>
          <w:color w:val="auto"/>
          <w:sz w:val="24"/>
          <w:szCs w:val="24"/>
          <w:highlight w:val="none"/>
          <w:lang w:eastAsia="zh-CN"/>
        </w:rPr>
        <w:t>重庆市两江新区人民医院</w:t>
      </w:r>
      <w:r>
        <w:rPr>
          <w:rFonts w:hint="eastAsia" w:ascii="微软雅黑" w:hAnsi="微软雅黑" w:eastAsia="微软雅黑" w:cs="微软雅黑"/>
          <w:color w:val="auto"/>
          <w:sz w:val="24"/>
          <w:szCs w:val="24"/>
          <w:highlight w:val="none"/>
        </w:rPr>
        <w:t>科教楼6</w:t>
      </w:r>
      <w:r>
        <w:rPr>
          <w:rFonts w:hint="eastAsia" w:ascii="微软雅黑" w:hAnsi="微软雅黑" w:eastAsia="微软雅黑" w:cs="微软雅黑"/>
          <w:color w:val="auto"/>
          <w:sz w:val="24"/>
          <w:szCs w:val="24"/>
          <w:highlight w:val="none"/>
          <w:lang w:val="en-US" w:eastAsia="zh-CN"/>
        </w:rPr>
        <w:t>01</w:t>
      </w:r>
      <w:r>
        <w:rPr>
          <w:rFonts w:hint="eastAsia" w:ascii="微软雅黑" w:hAnsi="微软雅黑" w:eastAsia="微软雅黑" w:cs="微软雅黑"/>
          <w:color w:val="auto"/>
          <w:sz w:val="24"/>
          <w:szCs w:val="24"/>
          <w:highlight w:val="none"/>
        </w:rPr>
        <w:t>。</w:t>
      </w:r>
    </w:p>
    <w:p w14:paraId="4594D8EB">
      <w:pPr>
        <w:pStyle w:val="2"/>
        <w:numPr>
          <w:ilvl w:val="0"/>
          <w:numId w:val="1"/>
        </w:numPr>
        <w:spacing w:line="360" w:lineRule="auto"/>
        <w:jc w:val="center"/>
        <w:rPr>
          <w:rFonts w:hint="eastAsia" w:ascii="微软雅黑" w:hAnsi="微软雅黑" w:eastAsia="微软雅黑" w:cs="微软雅黑"/>
          <w:b w:val="0"/>
          <w:color w:val="auto"/>
          <w:sz w:val="36"/>
          <w:szCs w:val="30"/>
          <w:highlight w:val="none"/>
        </w:rPr>
      </w:pPr>
      <w:bookmarkStart w:id="24" w:name="_Toc20998"/>
      <w:r>
        <w:rPr>
          <w:rFonts w:hint="eastAsia" w:ascii="微软雅黑" w:hAnsi="微软雅黑" w:eastAsia="微软雅黑" w:cs="微软雅黑"/>
          <w:b w:val="0"/>
          <w:color w:val="auto"/>
          <w:sz w:val="36"/>
          <w:szCs w:val="30"/>
          <w:highlight w:val="none"/>
        </w:rPr>
        <w:t>项目服务</w:t>
      </w:r>
      <w:bookmarkEnd w:id="23"/>
      <w:r>
        <w:rPr>
          <w:rFonts w:hint="eastAsia" w:ascii="微软雅黑" w:hAnsi="微软雅黑" w:eastAsia="微软雅黑" w:cs="微软雅黑"/>
          <w:b w:val="0"/>
          <w:color w:val="auto"/>
          <w:sz w:val="36"/>
          <w:szCs w:val="30"/>
          <w:highlight w:val="none"/>
        </w:rPr>
        <w:t>需求</w:t>
      </w:r>
      <w:bookmarkEnd w:id="24"/>
    </w:p>
    <w:p w14:paraId="198F6B2A">
      <w:pPr>
        <w:pStyle w:val="3"/>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bookmarkStart w:id="25" w:name="_Toc1278"/>
      <w:bookmarkStart w:id="26" w:name="_Toc12789058"/>
      <w:r>
        <w:rPr>
          <w:rFonts w:hint="eastAsia" w:ascii="微软雅黑" w:hAnsi="微软雅黑" w:eastAsia="微软雅黑" w:cs="微软雅黑"/>
          <w:color w:val="auto"/>
          <w:sz w:val="24"/>
          <w:szCs w:val="24"/>
          <w:highlight w:val="none"/>
        </w:rPr>
        <w:t>说明：“※”标注的部分为符合性审查中的实质性要求，若不满足按无效投标处理。</w:t>
      </w:r>
      <w:bookmarkEnd w:id="25"/>
    </w:p>
    <w:p w14:paraId="4BF9CD14">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27" w:name="_Toc8140"/>
      <w:r>
        <w:rPr>
          <w:rFonts w:hint="eastAsia" w:ascii="微软雅黑" w:hAnsi="微软雅黑" w:eastAsia="微软雅黑" w:cs="微软雅黑"/>
          <w:color w:val="auto"/>
          <w:sz w:val="28"/>
          <w:szCs w:val="28"/>
          <w:highlight w:val="none"/>
        </w:rPr>
        <w:t>一、服务内容</w:t>
      </w:r>
      <w:bookmarkEnd w:id="27"/>
    </w:p>
    <w:p w14:paraId="6A2096DD">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负责采购人单次50万元（不含）以下采购项目</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具体内容包括但不限于以下工作：</w:t>
      </w:r>
    </w:p>
    <w:p w14:paraId="5102887A">
      <w:pPr>
        <w:spacing w:line="520" w:lineRule="exact"/>
        <w:ind w:firstLine="480" w:firstLineChars="200"/>
        <w:jc w:val="left"/>
        <w:rPr>
          <w:rFonts w:hint="default" w:ascii="微软雅黑" w:hAnsi="微软雅黑" w:eastAsia="微软雅黑" w:cs="微软雅黑"/>
          <w:color w:val="auto"/>
          <w:sz w:val="24"/>
          <w:szCs w:val="24"/>
          <w:highlight w:val="none"/>
          <w:lang w:val="en-US"/>
        </w:rPr>
      </w:pPr>
      <w:r>
        <w:rPr>
          <w:rFonts w:hint="eastAsia" w:ascii="微软雅黑" w:hAnsi="微软雅黑" w:eastAsia="微软雅黑" w:cs="微软雅黑"/>
          <w:color w:val="auto"/>
          <w:sz w:val="24"/>
          <w:szCs w:val="24"/>
          <w:highlight w:val="none"/>
        </w:rPr>
        <w:t>（一）</w:t>
      </w:r>
      <w:r>
        <w:rPr>
          <w:rFonts w:hint="default" w:ascii="微软雅黑" w:hAnsi="微软雅黑" w:eastAsia="微软雅黑" w:cs="微软雅黑"/>
          <w:color w:val="auto"/>
          <w:sz w:val="24"/>
          <w:szCs w:val="24"/>
          <w:highlight w:val="none"/>
          <w:lang w:val="en-US"/>
        </w:rPr>
        <w:t>采购需求部分</w:t>
      </w:r>
    </w:p>
    <w:p w14:paraId="3F4BB0AB">
      <w:pPr>
        <w:pStyle w:val="24"/>
        <w:numPr>
          <w:ilvl w:val="0"/>
          <w:numId w:val="0"/>
        </w:numPr>
        <w:spacing w:line="520" w:lineRule="exact"/>
        <w:ind w:firstLineChars="200"/>
        <w:jc w:val="left"/>
        <w:rPr>
          <w:rFonts w:hint="default" w:ascii="微软雅黑" w:hAnsi="微软雅黑" w:eastAsia="微软雅黑" w:cs="微软雅黑"/>
          <w:color w:val="auto"/>
          <w:sz w:val="24"/>
          <w:szCs w:val="24"/>
          <w:highlight w:val="none"/>
          <w:lang w:val="en-US"/>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1.协助调研。若采购人需要，须</w:t>
      </w:r>
      <w:r>
        <w:rPr>
          <w:rFonts w:hint="eastAsia" w:ascii="微软雅黑" w:hAnsi="微软雅黑" w:eastAsia="微软雅黑" w:cs="微软雅黑"/>
          <w:color w:val="auto"/>
          <w:sz w:val="24"/>
          <w:szCs w:val="24"/>
          <w:highlight w:val="none"/>
        </w:rPr>
        <w:t>协助采购人进行招标前期</w:t>
      </w:r>
      <w:r>
        <w:rPr>
          <w:rFonts w:hint="default" w:ascii="微软雅黑" w:hAnsi="微软雅黑" w:eastAsia="微软雅黑" w:cs="微软雅黑"/>
          <w:color w:val="auto"/>
          <w:sz w:val="24"/>
          <w:szCs w:val="24"/>
          <w:highlight w:val="none"/>
          <w:lang w:val="en-US"/>
        </w:rPr>
        <w:t>工作，如</w:t>
      </w:r>
      <w:r>
        <w:rPr>
          <w:rFonts w:hint="eastAsia" w:ascii="微软雅黑" w:hAnsi="微软雅黑" w:eastAsia="微软雅黑" w:cs="微软雅黑"/>
          <w:color w:val="auto"/>
          <w:sz w:val="24"/>
          <w:szCs w:val="24"/>
          <w:highlight w:val="none"/>
        </w:rPr>
        <w:t>市场调研、组织</w:t>
      </w:r>
      <w:r>
        <w:rPr>
          <w:rFonts w:hint="eastAsia" w:ascii="微软雅黑" w:hAnsi="微软雅黑" w:eastAsia="微软雅黑" w:cs="微软雅黑"/>
          <w:color w:val="auto"/>
          <w:sz w:val="24"/>
          <w:szCs w:val="24"/>
          <w:highlight w:val="none"/>
          <w:lang w:val="en-US" w:eastAsia="zh-CN"/>
        </w:rPr>
        <w:t>主持</w:t>
      </w:r>
      <w:r>
        <w:rPr>
          <w:rFonts w:hint="default" w:ascii="微软雅黑" w:hAnsi="微软雅黑" w:eastAsia="微软雅黑" w:cs="微软雅黑"/>
          <w:color w:val="auto"/>
          <w:sz w:val="24"/>
          <w:szCs w:val="24"/>
          <w:highlight w:val="none"/>
          <w:lang w:val="en-US" w:eastAsia="zh-CN"/>
        </w:rPr>
        <w:t>阳光</w:t>
      </w:r>
      <w:r>
        <w:rPr>
          <w:rFonts w:hint="eastAsia" w:ascii="微软雅黑" w:hAnsi="微软雅黑" w:eastAsia="微软雅黑" w:cs="微软雅黑"/>
          <w:color w:val="auto"/>
          <w:sz w:val="24"/>
          <w:szCs w:val="24"/>
          <w:highlight w:val="none"/>
        </w:rPr>
        <w:t>推介会</w:t>
      </w:r>
      <w:r>
        <w:rPr>
          <w:rFonts w:hint="default" w:ascii="微软雅黑" w:hAnsi="微软雅黑" w:eastAsia="微软雅黑" w:cs="微软雅黑"/>
          <w:color w:val="auto"/>
          <w:sz w:val="24"/>
          <w:szCs w:val="24"/>
          <w:highlight w:val="none"/>
          <w:lang w:val="en-US"/>
        </w:rPr>
        <w:t>（含形成会议记录）</w:t>
      </w:r>
      <w:r>
        <w:rPr>
          <w:rFonts w:hint="eastAsia" w:ascii="微软雅黑" w:hAnsi="微软雅黑" w:eastAsia="微软雅黑" w:cs="微软雅黑"/>
          <w:color w:val="auto"/>
          <w:sz w:val="24"/>
          <w:szCs w:val="24"/>
          <w:highlight w:val="none"/>
        </w:rPr>
        <w:t>、组织现场</w:t>
      </w:r>
      <w:r>
        <w:rPr>
          <w:rFonts w:hint="eastAsia" w:ascii="微软雅黑" w:hAnsi="微软雅黑" w:eastAsia="微软雅黑" w:cs="微软雅黑"/>
          <w:color w:val="auto"/>
          <w:sz w:val="24"/>
          <w:szCs w:val="24"/>
          <w:highlight w:val="none"/>
          <w:lang w:eastAsia="zh-CN"/>
        </w:rPr>
        <w:t>勘探</w:t>
      </w:r>
      <w:r>
        <w:rPr>
          <w:rFonts w:hint="eastAsia" w:ascii="微软雅黑" w:hAnsi="微软雅黑" w:eastAsia="微软雅黑" w:cs="微软雅黑"/>
          <w:color w:val="auto"/>
          <w:sz w:val="24"/>
          <w:szCs w:val="24"/>
          <w:highlight w:val="none"/>
        </w:rPr>
        <w:t>等</w:t>
      </w:r>
      <w:r>
        <w:rPr>
          <w:rFonts w:hint="default" w:ascii="微软雅黑" w:hAnsi="微软雅黑" w:eastAsia="微软雅黑" w:cs="微软雅黑"/>
          <w:color w:val="auto"/>
          <w:sz w:val="24"/>
          <w:szCs w:val="24"/>
          <w:highlight w:val="none"/>
          <w:lang w:val="en-US"/>
        </w:rPr>
        <w:t>。</w:t>
      </w:r>
    </w:p>
    <w:p w14:paraId="2F50AD8B">
      <w:pPr>
        <w:pStyle w:val="24"/>
        <w:numPr>
          <w:ilvl w:val="0"/>
          <w:numId w:val="0"/>
        </w:num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2.需求审核。采购代理机构应对采购人提出的需求进行审核，若需求不符合政府采购或招标采购相关政策要求，采购代理机构应尽风险提醒义务。</w:t>
      </w:r>
    </w:p>
    <w:p w14:paraId="674CA84B">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w:t>
      </w:r>
      <w:r>
        <w:rPr>
          <w:rFonts w:hint="default" w:ascii="微软雅黑" w:hAnsi="微软雅黑" w:eastAsia="微软雅黑" w:cs="微软雅黑"/>
          <w:color w:val="auto"/>
          <w:sz w:val="24"/>
          <w:szCs w:val="24"/>
          <w:highlight w:val="none"/>
          <w:lang w:val="en-US"/>
        </w:rPr>
        <w:t>采购文件编制部分</w:t>
      </w:r>
    </w:p>
    <w:p w14:paraId="006E62F6">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1.采购文件编制。按照最新政策及相关法律法规要求，结合采购人的合理需求</w:t>
      </w:r>
      <w:r>
        <w:rPr>
          <w:rFonts w:hint="eastAsia" w:ascii="微软雅黑" w:hAnsi="微软雅黑" w:eastAsia="微软雅黑" w:cs="微软雅黑"/>
          <w:color w:val="auto"/>
          <w:sz w:val="24"/>
          <w:szCs w:val="24"/>
          <w:highlight w:val="none"/>
        </w:rPr>
        <w:t>编制采购文件，包括该类文件的澄清或补遗文件；</w:t>
      </w:r>
    </w:p>
    <w:p w14:paraId="65F7067A">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2.采购文件送审。</w:t>
      </w:r>
      <w:r>
        <w:rPr>
          <w:rFonts w:hint="eastAsia" w:ascii="微软雅黑" w:hAnsi="微软雅黑" w:eastAsia="微软雅黑" w:cs="微软雅黑"/>
          <w:color w:val="auto"/>
          <w:sz w:val="24"/>
          <w:szCs w:val="24"/>
          <w:highlight w:val="none"/>
        </w:rPr>
        <w:t>采购文件</w:t>
      </w:r>
      <w:r>
        <w:rPr>
          <w:rFonts w:hint="default" w:ascii="微软雅黑" w:hAnsi="微软雅黑" w:eastAsia="微软雅黑" w:cs="微软雅黑"/>
          <w:color w:val="auto"/>
          <w:sz w:val="24"/>
          <w:szCs w:val="24"/>
          <w:highlight w:val="none"/>
          <w:lang w:val="en-US"/>
        </w:rPr>
        <w:t>定稿应</w:t>
      </w:r>
      <w:r>
        <w:rPr>
          <w:rFonts w:hint="eastAsia" w:ascii="微软雅黑" w:hAnsi="微软雅黑" w:eastAsia="微软雅黑" w:cs="微软雅黑"/>
          <w:color w:val="auto"/>
          <w:sz w:val="24"/>
          <w:szCs w:val="24"/>
          <w:highlight w:val="none"/>
        </w:rPr>
        <w:t>送采购人</w:t>
      </w:r>
      <w:r>
        <w:rPr>
          <w:rFonts w:hint="default" w:ascii="微软雅黑" w:hAnsi="微软雅黑" w:eastAsia="微软雅黑" w:cs="微软雅黑"/>
          <w:color w:val="auto"/>
          <w:sz w:val="24"/>
          <w:szCs w:val="24"/>
          <w:highlight w:val="none"/>
          <w:lang w:val="en-US"/>
        </w:rPr>
        <w:t>、公共资源交易中心或市政采中心（若有）等</w:t>
      </w:r>
      <w:r>
        <w:rPr>
          <w:rFonts w:hint="eastAsia" w:ascii="微软雅黑" w:hAnsi="微软雅黑" w:eastAsia="微软雅黑" w:cs="微软雅黑"/>
          <w:color w:val="auto"/>
          <w:sz w:val="24"/>
          <w:szCs w:val="24"/>
          <w:highlight w:val="none"/>
        </w:rPr>
        <w:t>审核批准</w:t>
      </w:r>
      <w:r>
        <w:rPr>
          <w:rFonts w:hint="default" w:ascii="微软雅黑" w:hAnsi="微软雅黑" w:eastAsia="微软雅黑" w:cs="微软雅黑"/>
          <w:color w:val="auto"/>
          <w:sz w:val="24"/>
          <w:szCs w:val="24"/>
          <w:highlight w:val="none"/>
          <w:lang w:val="en-US"/>
        </w:rPr>
        <w:t>。期间若发生送件费，由采购代理机构承担</w:t>
      </w:r>
      <w:r>
        <w:rPr>
          <w:rFonts w:hint="eastAsia" w:ascii="微软雅黑" w:hAnsi="微软雅黑" w:eastAsia="微软雅黑" w:cs="微软雅黑"/>
          <w:color w:val="auto"/>
          <w:sz w:val="24"/>
          <w:szCs w:val="24"/>
          <w:highlight w:val="none"/>
        </w:rPr>
        <w:t>；</w:t>
      </w:r>
    </w:p>
    <w:p w14:paraId="16F2F1E8">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default" w:ascii="微软雅黑" w:hAnsi="微软雅黑" w:eastAsia="微软雅黑" w:cs="微软雅黑"/>
          <w:color w:val="auto"/>
          <w:sz w:val="24"/>
          <w:szCs w:val="24"/>
          <w:highlight w:val="none"/>
          <w:lang w:val="en-US"/>
        </w:rPr>
        <w:t>3.采购公告发布。</w:t>
      </w:r>
      <w:r>
        <w:rPr>
          <w:rFonts w:hint="eastAsia" w:ascii="微软雅黑" w:hAnsi="微软雅黑" w:eastAsia="微软雅黑" w:cs="微软雅黑"/>
          <w:color w:val="auto"/>
          <w:sz w:val="24"/>
          <w:szCs w:val="24"/>
          <w:highlight w:val="none"/>
        </w:rPr>
        <w:t>按照采购人审定的采购文件要求，编写采购公告</w:t>
      </w:r>
      <w:r>
        <w:rPr>
          <w:rFonts w:hint="default" w:ascii="微软雅黑" w:hAnsi="微软雅黑" w:eastAsia="微软雅黑" w:cs="微软雅黑"/>
          <w:color w:val="auto"/>
          <w:sz w:val="24"/>
          <w:szCs w:val="24"/>
          <w:highlight w:val="none"/>
          <w:lang w:val="en-US"/>
        </w:rPr>
        <w:t>，</w:t>
      </w:r>
      <w:r>
        <w:rPr>
          <w:rFonts w:hint="eastAsia" w:ascii="微软雅黑" w:hAnsi="微软雅黑" w:eastAsia="微软雅黑" w:cs="微软雅黑"/>
          <w:color w:val="auto"/>
          <w:sz w:val="24"/>
          <w:szCs w:val="24"/>
          <w:highlight w:val="none"/>
        </w:rPr>
        <w:t>负责</w:t>
      </w:r>
      <w:r>
        <w:rPr>
          <w:rFonts w:hint="default" w:ascii="微软雅黑" w:hAnsi="微软雅黑" w:eastAsia="微软雅黑" w:cs="微软雅黑"/>
          <w:color w:val="auto"/>
          <w:sz w:val="24"/>
          <w:szCs w:val="24"/>
          <w:highlight w:val="none"/>
          <w:lang w:val="en-US"/>
        </w:rPr>
        <w:t>采购公告的发布及采购文件的发售</w:t>
      </w:r>
      <w:r>
        <w:rPr>
          <w:rFonts w:hint="eastAsia" w:ascii="微软雅黑" w:hAnsi="微软雅黑" w:eastAsia="微软雅黑" w:cs="微软雅黑"/>
          <w:color w:val="auto"/>
          <w:sz w:val="24"/>
          <w:szCs w:val="24"/>
          <w:highlight w:val="none"/>
        </w:rPr>
        <w:t>；</w:t>
      </w:r>
    </w:p>
    <w:p w14:paraId="1697D479">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w:t>
      </w:r>
      <w:r>
        <w:rPr>
          <w:rFonts w:hint="default" w:ascii="微软雅黑" w:hAnsi="微软雅黑" w:eastAsia="微软雅黑" w:cs="微软雅黑"/>
          <w:color w:val="auto"/>
          <w:sz w:val="24"/>
          <w:szCs w:val="24"/>
          <w:highlight w:val="none"/>
          <w:lang w:val="en-US"/>
        </w:rPr>
        <w:t>三</w:t>
      </w:r>
      <w:r>
        <w:rPr>
          <w:rFonts w:hint="eastAsia" w:ascii="微软雅黑" w:hAnsi="微软雅黑" w:eastAsia="微软雅黑" w:cs="微软雅黑"/>
          <w:color w:val="auto"/>
          <w:sz w:val="24"/>
          <w:szCs w:val="24"/>
          <w:highlight w:val="none"/>
        </w:rPr>
        <w:t>）</w:t>
      </w:r>
      <w:r>
        <w:rPr>
          <w:rFonts w:hint="default" w:ascii="微软雅黑" w:hAnsi="微软雅黑" w:eastAsia="微软雅黑" w:cs="微软雅黑"/>
          <w:color w:val="auto"/>
          <w:sz w:val="24"/>
          <w:szCs w:val="24"/>
          <w:highlight w:val="none"/>
          <w:lang w:val="en-US"/>
        </w:rPr>
        <w:t>质疑投诉部分</w:t>
      </w:r>
    </w:p>
    <w:p w14:paraId="7F81A68D">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1.答疑会。若采购人需要，采购代理机构须</w:t>
      </w:r>
      <w:r>
        <w:rPr>
          <w:rFonts w:hint="eastAsia" w:ascii="微软雅黑" w:hAnsi="微软雅黑" w:eastAsia="微软雅黑" w:cs="微软雅黑"/>
          <w:color w:val="auto"/>
          <w:sz w:val="24"/>
          <w:szCs w:val="24"/>
          <w:highlight w:val="none"/>
        </w:rPr>
        <w:t>组织采购文件答疑会</w:t>
      </w:r>
      <w:r>
        <w:rPr>
          <w:rFonts w:hint="default" w:ascii="微软雅黑" w:hAnsi="微软雅黑" w:eastAsia="微软雅黑" w:cs="微软雅黑"/>
          <w:color w:val="auto"/>
          <w:sz w:val="24"/>
          <w:szCs w:val="24"/>
          <w:highlight w:val="none"/>
          <w:lang w:val="en-US"/>
        </w:rPr>
        <w:t>或投诉讨论会，并形成书面记录；</w:t>
      </w:r>
    </w:p>
    <w:p w14:paraId="4E3AC570">
      <w:pPr>
        <w:spacing w:line="520" w:lineRule="exact"/>
        <w:ind w:firstLine="480" w:firstLineChars="200"/>
        <w:jc w:val="left"/>
        <w:rPr>
          <w:rFonts w:hint="default" w:ascii="微软雅黑" w:hAnsi="微软雅黑" w:eastAsia="微软雅黑" w:cs="微软雅黑"/>
          <w:color w:val="auto"/>
          <w:sz w:val="24"/>
          <w:szCs w:val="24"/>
          <w:highlight w:val="none"/>
          <w:lang w:val="en-US"/>
        </w:rPr>
      </w:pPr>
      <w:r>
        <w:rPr>
          <w:rFonts w:hint="default" w:ascii="微软雅黑" w:hAnsi="微软雅黑" w:eastAsia="微软雅黑" w:cs="微软雅黑"/>
          <w:color w:val="auto"/>
          <w:sz w:val="24"/>
          <w:szCs w:val="24"/>
          <w:highlight w:val="none"/>
          <w:lang w:val="en-US"/>
        </w:rPr>
        <w:t>2.</w:t>
      </w:r>
      <w:r>
        <w:rPr>
          <w:rFonts w:hint="default" w:ascii="微软雅黑" w:hAnsi="微软雅黑" w:eastAsia="微软雅黑" w:cs="微软雅黑"/>
          <w:color w:val="auto"/>
          <w:sz w:val="24"/>
          <w:szCs w:val="24"/>
          <w:highlight w:val="none"/>
          <w:lang w:val="en-US" w:eastAsia="zh-CN"/>
        </w:rPr>
        <w:t>质疑投诉回复。</w:t>
      </w: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采购代理机构应具有丰富的从事医疗卫生领域的政府采购和招标代理的经验</w:t>
      </w:r>
      <w:r>
        <w:rPr>
          <w:rFonts w:hint="eastAsia" w:ascii="微软雅黑" w:hAnsi="微软雅黑" w:eastAsia="微软雅黑" w:cs="微软雅黑"/>
          <w:b w:val="0"/>
          <w:bCs w:val="0"/>
          <w:i w:val="0"/>
          <w:iCs w:val="0"/>
          <w:color w:val="auto"/>
          <w:kern w:val="2"/>
          <w:sz w:val="24"/>
          <w:szCs w:val="24"/>
          <w:highlight w:val="none"/>
          <w:vertAlign w:val="baseline"/>
          <w:lang w:val="en-US" w:eastAsia="zh-CN" w:bidi="ar-SA"/>
        </w:rPr>
        <w:t>，具</w:t>
      </w: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有经验丰富的法务团队，能及时合理处理招标采购质疑和投诉。及时按照相关法律或采购文件规定，积极向采购人提出科学的措施，及时完成回复的拟制、修改、发出等工作。</w:t>
      </w:r>
    </w:p>
    <w:p w14:paraId="73BA75CA">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default" w:ascii="微软雅黑" w:hAnsi="微软雅黑" w:eastAsia="微软雅黑" w:cs="微软雅黑"/>
          <w:color w:val="auto"/>
          <w:sz w:val="24"/>
          <w:szCs w:val="24"/>
          <w:highlight w:val="none"/>
          <w:lang w:val="en-US"/>
        </w:rPr>
        <w:t>3.答疑资料。</w:t>
      </w:r>
      <w:r>
        <w:rPr>
          <w:rFonts w:hint="eastAsia" w:ascii="微软雅黑" w:hAnsi="微软雅黑" w:eastAsia="微软雅黑" w:cs="微软雅黑"/>
          <w:color w:val="auto"/>
          <w:sz w:val="24"/>
          <w:szCs w:val="24"/>
          <w:highlight w:val="none"/>
        </w:rPr>
        <w:t>负责整理答疑资料，</w:t>
      </w:r>
      <w:r>
        <w:rPr>
          <w:rFonts w:hint="eastAsia" w:ascii="微软雅黑" w:hAnsi="微软雅黑" w:eastAsia="微软雅黑" w:cs="微软雅黑"/>
          <w:color w:val="auto"/>
          <w:sz w:val="24"/>
          <w:szCs w:val="24"/>
          <w:highlight w:val="none"/>
          <w:lang w:val="en-US" w:eastAsia="zh-CN"/>
        </w:rPr>
        <w:t>将</w:t>
      </w:r>
      <w:r>
        <w:rPr>
          <w:rFonts w:hint="eastAsia" w:ascii="微软雅黑" w:hAnsi="微软雅黑" w:eastAsia="微软雅黑" w:cs="微软雅黑"/>
          <w:color w:val="auto"/>
          <w:sz w:val="24"/>
          <w:szCs w:val="24"/>
          <w:highlight w:val="none"/>
        </w:rPr>
        <w:t>形成</w:t>
      </w:r>
      <w:r>
        <w:rPr>
          <w:rFonts w:hint="default" w:ascii="微软雅黑" w:hAnsi="微软雅黑" w:eastAsia="微软雅黑" w:cs="微软雅黑"/>
          <w:color w:val="auto"/>
          <w:sz w:val="24"/>
          <w:szCs w:val="24"/>
          <w:highlight w:val="none"/>
          <w:lang w:val="en-US"/>
        </w:rPr>
        <w:t>的</w:t>
      </w:r>
      <w:r>
        <w:rPr>
          <w:rFonts w:hint="eastAsia" w:ascii="微软雅黑" w:hAnsi="微软雅黑" w:eastAsia="微软雅黑" w:cs="微软雅黑"/>
          <w:color w:val="auto"/>
          <w:sz w:val="24"/>
          <w:szCs w:val="24"/>
          <w:highlight w:val="none"/>
        </w:rPr>
        <w:t>澄清或者补遗</w:t>
      </w:r>
      <w:r>
        <w:rPr>
          <w:rFonts w:hint="default" w:ascii="微软雅黑" w:hAnsi="微软雅黑" w:eastAsia="微软雅黑" w:cs="微软雅黑"/>
          <w:color w:val="auto"/>
          <w:sz w:val="24"/>
          <w:szCs w:val="24"/>
          <w:highlight w:val="none"/>
          <w:lang w:val="en-US"/>
        </w:rPr>
        <w:t>文件</w:t>
      </w:r>
      <w:r>
        <w:rPr>
          <w:rFonts w:hint="eastAsia" w:ascii="微软雅黑" w:hAnsi="微软雅黑" w:eastAsia="微软雅黑" w:cs="微软雅黑"/>
          <w:color w:val="auto"/>
          <w:sz w:val="24"/>
          <w:szCs w:val="24"/>
          <w:highlight w:val="none"/>
        </w:rPr>
        <w:t>作为采购文件的一部分</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通知所有获取采购文件的潜在</w:t>
      </w:r>
      <w:r>
        <w:rPr>
          <w:rFonts w:hint="eastAsia" w:ascii="微软雅黑" w:hAnsi="微软雅黑" w:eastAsia="微软雅黑" w:cs="微软雅黑"/>
          <w:color w:val="auto"/>
          <w:sz w:val="24"/>
          <w:szCs w:val="24"/>
          <w:highlight w:val="none"/>
          <w:lang w:val="en-US" w:eastAsia="zh-CN"/>
        </w:rPr>
        <w:t>供应商</w:t>
      </w:r>
      <w:r>
        <w:rPr>
          <w:rFonts w:hint="eastAsia" w:ascii="微软雅黑" w:hAnsi="微软雅黑" w:eastAsia="微软雅黑" w:cs="微软雅黑"/>
          <w:color w:val="auto"/>
          <w:sz w:val="24"/>
          <w:szCs w:val="24"/>
          <w:highlight w:val="none"/>
        </w:rPr>
        <w:t>；</w:t>
      </w:r>
    </w:p>
    <w:p w14:paraId="685DD18D">
      <w:pPr>
        <w:spacing w:line="520" w:lineRule="exact"/>
        <w:ind w:firstLine="480" w:firstLineChars="200"/>
        <w:jc w:val="left"/>
        <w:rPr>
          <w:rFonts w:hint="default" w:ascii="微软雅黑" w:hAnsi="微软雅黑" w:eastAsia="微软雅黑" w:cs="微软雅黑"/>
          <w:color w:val="auto"/>
          <w:kern w:val="2"/>
          <w:sz w:val="24"/>
          <w:szCs w:val="24"/>
          <w:highlight w:val="none"/>
          <w:shd w:val="clear" w:color="auto" w:fill="auto"/>
          <w:lang w:val="en-US"/>
        </w:rPr>
      </w:pPr>
      <w:r>
        <w:rPr>
          <w:rFonts w:hint="default" w:ascii="微软雅黑" w:hAnsi="微软雅黑" w:eastAsia="微软雅黑" w:cs="微软雅黑"/>
          <w:color w:val="auto"/>
          <w:kern w:val="2"/>
          <w:sz w:val="24"/>
          <w:szCs w:val="24"/>
          <w:highlight w:val="none"/>
          <w:shd w:val="clear" w:color="auto" w:fill="auto"/>
          <w:lang w:val="en-US"/>
        </w:rPr>
        <w:t>（四）开评标部分</w:t>
      </w:r>
    </w:p>
    <w:p w14:paraId="7C868B75">
      <w:pPr>
        <w:spacing w:line="520" w:lineRule="exact"/>
        <w:ind w:firstLine="480" w:firstLineChars="200"/>
        <w:jc w:val="left"/>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pPr>
      <w:r>
        <w:rPr>
          <w:rFonts w:hint="default" w:ascii="微软雅黑" w:hAnsi="微软雅黑" w:eastAsia="微软雅黑" w:cs="微软雅黑"/>
          <w:color w:val="auto"/>
          <w:sz w:val="24"/>
          <w:szCs w:val="24"/>
          <w:highlight w:val="none"/>
          <w:lang w:val="en-US"/>
        </w:rPr>
        <w:t>1.组织开评标。</w:t>
      </w: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负责组织开标、评标、编写评标报告；</w:t>
      </w:r>
    </w:p>
    <w:p w14:paraId="1BA5DEA1">
      <w:pPr>
        <w:spacing w:line="520" w:lineRule="exact"/>
        <w:ind w:firstLine="480" w:firstLineChars="200"/>
        <w:jc w:val="left"/>
        <w:rPr>
          <w:rFonts w:hint="eastAsia" w:ascii="微软雅黑" w:hAnsi="微软雅黑" w:eastAsia="微软雅黑" w:cs="微软雅黑"/>
          <w:color w:val="auto"/>
          <w:sz w:val="24"/>
          <w:szCs w:val="24"/>
          <w:highlight w:val="none"/>
        </w:rPr>
      </w:pPr>
      <w:r>
        <w:rPr>
          <w:rFonts w:hint="default" w:ascii="微软雅黑" w:hAnsi="微软雅黑" w:eastAsia="微软雅黑" w:cs="微软雅黑"/>
          <w:color w:val="auto"/>
          <w:sz w:val="24"/>
          <w:szCs w:val="24"/>
          <w:highlight w:val="none"/>
          <w:lang w:val="en-US"/>
        </w:rPr>
        <w:t>2.邀请专家。</w:t>
      </w:r>
      <w:r>
        <w:rPr>
          <w:rFonts w:hint="eastAsia" w:ascii="微软雅黑" w:hAnsi="微软雅黑" w:eastAsia="微软雅黑" w:cs="微软雅黑"/>
          <w:color w:val="auto"/>
          <w:sz w:val="24"/>
          <w:szCs w:val="24"/>
          <w:highlight w:val="none"/>
        </w:rPr>
        <w:t>根据</w:t>
      </w:r>
      <w:r>
        <w:rPr>
          <w:rFonts w:hint="default" w:ascii="微软雅黑" w:hAnsi="微软雅黑" w:eastAsia="微软雅黑" w:cs="微软雅黑"/>
          <w:color w:val="auto"/>
          <w:sz w:val="24"/>
          <w:szCs w:val="24"/>
          <w:highlight w:val="none"/>
          <w:lang w:val="en-US"/>
        </w:rPr>
        <w:t>相关政策及</w:t>
      </w:r>
      <w:r>
        <w:rPr>
          <w:rFonts w:hint="eastAsia" w:ascii="微软雅黑" w:hAnsi="微软雅黑" w:eastAsia="微软雅黑" w:cs="微软雅黑"/>
          <w:color w:val="auto"/>
          <w:sz w:val="24"/>
          <w:szCs w:val="24"/>
          <w:highlight w:val="none"/>
        </w:rPr>
        <w:t>采购项目需求，负责</w:t>
      </w:r>
      <w:r>
        <w:rPr>
          <w:rFonts w:hint="default" w:ascii="微软雅黑" w:hAnsi="微软雅黑" w:eastAsia="微软雅黑" w:cs="微软雅黑"/>
          <w:color w:val="auto"/>
          <w:sz w:val="24"/>
          <w:szCs w:val="24"/>
          <w:highlight w:val="none"/>
          <w:lang w:val="en-US"/>
        </w:rPr>
        <w:t>邀请</w:t>
      </w:r>
      <w:r>
        <w:rPr>
          <w:rFonts w:hint="eastAsia" w:ascii="微软雅黑" w:hAnsi="微软雅黑" w:eastAsia="微软雅黑" w:cs="微软雅黑"/>
          <w:color w:val="auto"/>
          <w:sz w:val="24"/>
          <w:szCs w:val="24"/>
          <w:highlight w:val="none"/>
        </w:rPr>
        <w:t>组织专家参与评标，并支付评标专家劳务费</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如遇流标，评标专家劳务费也由代理公司支付</w:t>
      </w:r>
      <w:r>
        <w:rPr>
          <w:rFonts w:hint="eastAsia" w:ascii="微软雅黑" w:hAnsi="微软雅黑" w:eastAsia="微软雅黑" w:cs="微软雅黑"/>
          <w:color w:val="auto"/>
          <w:sz w:val="24"/>
          <w:szCs w:val="24"/>
          <w:highlight w:val="none"/>
        </w:rPr>
        <w:t>；</w:t>
      </w:r>
    </w:p>
    <w:p w14:paraId="5822A958">
      <w:pPr>
        <w:numPr>
          <w:ilvl w:val="-1"/>
          <w:numId w:val="0"/>
        </w:numPr>
        <w:spacing w:line="520" w:lineRule="exact"/>
        <w:ind w:left="560" w:leftChars="200" w:firstLine="0" w:firstLineChars="0"/>
        <w:jc w:val="left"/>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pPr>
      <w:r>
        <w:rPr>
          <w:rFonts w:hint="default" w:ascii="微软雅黑" w:hAnsi="微软雅黑" w:eastAsia="微软雅黑" w:cs="微软雅黑"/>
          <w:color w:val="auto"/>
          <w:sz w:val="24"/>
          <w:szCs w:val="24"/>
          <w:highlight w:val="none"/>
          <w:lang w:val="en-US"/>
        </w:rPr>
        <w:t>3.投标保证金。</w:t>
      </w:r>
      <w:r>
        <w:rPr>
          <w:rFonts w:hint="eastAsia" w:ascii="微软雅黑" w:hAnsi="微软雅黑" w:eastAsia="微软雅黑" w:cs="微软雅黑"/>
          <w:color w:val="auto"/>
          <w:sz w:val="24"/>
          <w:szCs w:val="24"/>
          <w:highlight w:val="none"/>
        </w:rPr>
        <w:t>责办理投标保证金</w:t>
      </w:r>
      <w:r>
        <w:rPr>
          <w:rFonts w:hint="default" w:ascii="微软雅黑" w:hAnsi="微软雅黑" w:eastAsia="微软雅黑" w:cs="微软雅黑"/>
          <w:color w:val="auto"/>
          <w:sz w:val="24"/>
          <w:szCs w:val="24"/>
          <w:highlight w:val="none"/>
          <w:lang w:val="en-US"/>
        </w:rPr>
        <w:t>（若有）</w:t>
      </w:r>
      <w:r>
        <w:rPr>
          <w:rFonts w:hint="eastAsia" w:ascii="微软雅黑" w:hAnsi="微软雅黑" w:eastAsia="微软雅黑" w:cs="微软雅黑"/>
          <w:color w:val="auto"/>
          <w:sz w:val="24"/>
          <w:szCs w:val="24"/>
          <w:highlight w:val="none"/>
        </w:rPr>
        <w:t>收取和退还事宜；</w:t>
      </w:r>
    </w:p>
    <w:p w14:paraId="7EF4A704">
      <w:pPr>
        <w:pStyle w:val="24"/>
        <w:numPr>
          <w:ilvl w:val="0"/>
          <w:numId w:val="0"/>
        </w:numPr>
        <w:spacing w:line="520" w:lineRule="exact"/>
        <w:ind w:firstLineChars="200"/>
        <w:jc w:val="left"/>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pP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4.结果发布。评标结束后，采购代理机构应及时将评审报告递交采购人，根据采购人确认的结果进行公示并发出成交通知书；</w:t>
      </w:r>
    </w:p>
    <w:p w14:paraId="2F2472D1">
      <w:pPr>
        <w:pStyle w:val="24"/>
        <w:numPr>
          <w:ilvl w:val="0"/>
          <w:numId w:val="0"/>
        </w:numPr>
        <w:spacing w:line="520" w:lineRule="exact"/>
        <w:ind w:firstLineChars="200"/>
        <w:jc w:val="left"/>
        <w:rPr>
          <w:rFonts w:hint="default" w:ascii="宋体" w:hAnsi="宋体" w:cs="宋体"/>
          <w:b w:val="0"/>
          <w:bCs w:val="0"/>
          <w:i w:val="0"/>
          <w:iCs w:val="0"/>
          <w:color w:val="auto"/>
          <w:kern w:val="0"/>
          <w:sz w:val="24"/>
          <w:szCs w:val="24"/>
          <w:highlight w:val="none"/>
          <w:shd w:val="clear" w:color="FFFFFF" w:fill="FFFFFF"/>
          <w:vertAlign w:val="baseline"/>
          <w:lang w:val="en-US" w:eastAsia="zh-CN" w:bidi="ar-SA"/>
        </w:rPr>
      </w:pPr>
      <w:r>
        <w:rPr>
          <w:rFonts w:hint="default" w:ascii="宋体" w:hAnsi="宋体" w:cs="宋体"/>
          <w:b w:val="0"/>
          <w:bCs w:val="0"/>
          <w:i w:val="0"/>
          <w:iCs w:val="0"/>
          <w:color w:val="auto"/>
          <w:kern w:val="0"/>
          <w:sz w:val="24"/>
          <w:szCs w:val="24"/>
          <w:highlight w:val="none"/>
          <w:shd w:val="clear" w:color="FFFFFF" w:fill="FFFFFF"/>
          <w:vertAlign w:val="baseline"/>
          <w:lang w:val="en-US" w:eastAsia="zh-CN" w:bidi="ar-SA"/>
        </w:rPr>
        <w:t>（五）合同签订部分</w:t>
      </w:r>
    </w:p>
    <w:p w14:paraId="023B4F09">
      <w:pPr>
        <w:pStyle w:val="24"/>
        <w:numPr>
          <w:ilvl w:val="0"/>
          <w:numId w:val="0"/>
        </w:numPr>
        <w:spacing w:line="520" w:lineRule="exact"/>
        <w:ind w:firstLineChars="200"/>
        <w:jc w:val="left"/>
        <w:rPr>
          <w:rFonts w:hint="default" w:ascii="宋体" w:hAnsi="宋体" w:eastAsia="宋体" w:cs="宋体"/>
          <w:b w:val="0"/>
          <w:bCs w:val="0"/>
          <w:i w:val="0"/>
          <w:iCs w:val="0"/>
          <w:color w:val="auto"/>
          <w:kern w:val="0"/>
          <w:sz w:val="24"/>
          <w:szCs w:val="24"/>
          <w:highlight w:val="none"/>
          <w:shd w:val="clear" w:color="FFFFFF" w:fill="FFFFFF"/>
          <w:vertAlign w:val="baseline"/>
          <w:lang w:val="en-US" w:eastAsia="zh-CN" w:bidi="ar-SA"/>
        </w:rPr>
      </w:pPr>
      <w:r>
        <w:rPr>
          <w:rFonts w:hint="default" w:ascii="宋体" w:hAnsi="宋体" w:eastAsia="宋体" w:cs="宋体"/>
          <w:b w:val="0"/>
          <w:bCs w:val="0"/>
          <w:i w:val="0"/>
          <w:iCs w:val="0"/>
          <w:color w:val="auto"/>
          <w:kern w:val="0"/>
          <w:sz w:val="24"/>
          <w:szCs w:val="24"/>
          <w:highlight w:val="none"/>
          <w:shd w:val="clear" w:color="FFFFFF" w:fill="FFFFFF"/>
          <w:vertAlign w:val="baseline"/>
          <w:lang w:val="en-US" w:eastAsia="zh-CN" w:bidi="ar-SA"/>
        </w:rPr>
        <w:t>注：书面采购合同的盖章前均属于招标采购过程，合同签订后进入合同履行阶段。</w:t>
      </w:r>
    </w:p>
    <w:p w14:paraId="5F24ED0A">
      <w:pPr>
        <w:pStyle w:val="24"/>
        <w:numPr>
          <w:ilvl w:val="0"/>
          <w:numId w:val="0"/>
        </w:numPr>
        <w:spacing w:line="520" w:lineRule="exact"/>
        <w:ind w:firstLineChars="200"/>
        <w:jc w:val="left"/>
        <w:rPr>
          <w:rFonts w:hint="eastAsia" w:ascii="微软雅黑" w:hAnsi="微软雅黑" w:eastAsia="微软雅黑" w:cs="微软雅黑"/>
          <w:color w:val="auto"/>
          <w:sz w:val="24"/>
          <w:szCs w:val="24"/>
          <w:highlight w:val="none"/>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※1.</w:t>
      </w:r>
      <w:r>
        <w:rPr>
          <w:rFonts w:hint="default" w:ascii="微软雅黑" w:hAnsi="微软雅黑" w:eastAsia="微软雅黑" w:cs="微软雅黑"/>
          <w:color w:val="auto"/>
          <w:sz w:val="24"/>
          <w:szCs w:val="24"/>
          <w:highlight w:val="none"/>
          <w:lang w:val="en-US"/>
        </w:rPr>
        <w:t>履约保证金。</w:t>
      </w:r>
      <w:r>
        <w:rPr>
          <w:rFonts w:hint="eastAsia" w:ascii="微软雅黑" w:hAnsi="微软雅黑" w:eastAsia="微软雅黑" w:cs="微软雅黑"/>
          <w:color w:val="auto"/>
          <w:sz w:val="24"/>
          <w:szCs w:val="24"/>
          <w:highlight w:val="none"/>
        </w:rPr>
        <w:t>在采购文件要求的期限内，督促成交供应商按时缴纳履约保证金</w:t>
      </w:r>
      <w:r>
        <w:rPr>
          <w:rFonts w:hint="default" w:ascii="微软雅黑" w:hAnsi="微软雅黑" w:eastAsia="微软雅黑" w:cs="微软雅黑"/>
          <w:color w:val="auto"/>
          <w:sz w:val="24"/>
          <w:szCs w:val="24"/>
          <w:highlight w:val="none"/>
          <w:lang w:val="en-US"/>
        </w:rPr>
        <w:t>（若有）</w:t>
      </w:r>
      <w:r>
        <w:rPr>
          <w:rFonts w:hint="eastAsia" w:ascii="微软雅黑" w:hAnsi="微软雅黑" w:eastAsia="微软雅黑" w:cs="微软雅黑"/>
          <w:color w:val="auto"/>
          <w:sz w:val="24"/>
          <w:szCs w:val="24"/>
          <w:highlight w:val="none"/>
        </w:rPr>
        <w:t>，并及时将相关证明材</w:t>
      </w:r>
      <w:r>
        <w:rPr>
          <w:rFonts w:hint="eastAsia" w:ascii="微软雅黑" w:hAnsi="微软雅黑" w:eastAsia="微软雅黑" w:cs="微软雅黑"/>
          <w:color w:val="auto"/>
          <w:sz w:val="24"/>
          <w:szCs w:val="24"/>
          <w:highlight w:val="none"/>
          <w:lang w:eastAsia="zh-CN"/>
        </w:rPr>
        <w:t>料提</w:t>
      </w:r>
      <w:r>
        <w:rPr>
          <w:rFonts w:hint="eastAsia" w:ascii="微软雅黑" w:hAnsi="微软雅黑" w:eastAsia="微软雅黑" w:cs="微软雅黑"/>
          <w:color w:val="auto"/>
          <w:sz w:val="24"/>
          <w:szCs w:val="24"/>
          <w:highlight w:val="none"/>
        </w:rPr>
        <w:t>交采购人。</w:t>
      </w:r>
    </w:p>
    <w:p w14:paraId="51964DE3">
      <w:pPr>
        <w:spacing w:line="520" w:lineRule="exact"/>
        <w:ind w:firstLine="400" w:firstLineChars="200"/>
        <w:jc w:val="left"/>
        <w:rPr>
          <w:rFonts w:hint="eastAsia" w:ascii="微软雅黑" w:hAnsi="微软雅黑" w:eastAsia="微软雅黑" w:cs="微软雅黑"/>
          <w:color w:val="auto"/>
          <w:sz w:val="24"/>
          <w:szCs w:val="24"/>
          <w:highlight w:val="none"/>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2.</w:t>
      </w:r>
      <w:r>
        <w:rPr>
          <w:rFonts w:hint="eastAsia" w:ascii="微软雅黑" w:hAnsi="微软雅黑" w:eastAsia="微软雅黑" w:cs="微软雅黑"/>
          <w:color w:val="auto"/>
          <w:sz w:val="24"/>
          <w:szCs w:val="24"/>
          <w:highlight w:val="none"/>
        </w:rPr>
        <w:t>拟制合同初稿，协助采购人</w:t>
      </w:r>
      <w:r>
        <w:rPr>
          <w:rFonts w:hint="default" w:ascii="微软雅黑" w:hAnsi="微软雅黑" w:eastAsia="微软雅黑" w:cs="微软雅黑"/>
          <w:color w:val="auto"/>
          <w:sz w:val="24"/>
          <w:szCs w:val="24"/>
          <w:highlight w:val="none"/>
          <w:lang w:val="en-US"/>
        </w:rPr>
        <w:t>在采购文件规定的时间内</w:t>
      </w:r>
      <w:r>
        <w:rPr>
          <w:rFonts w:hint="eastAsia" w:ascii="微软雅黑" w:hAnsi="微软雅黑" w:eastAsia="微软雅黑" w:cs="微软雅黑"/>
          <w:color w:val="auto"/>
          <w:sz w:val="24"/>
          <w:szCs w:val="24"/>
          <w:highlight w:val="none"/>
        </w:rPr>
        <w:t>完成采购合同的签订及公示（若</w:t>
      </w:r>
      <w:r>
        <w:rPr>
          <w:rFonts w:hint="default" w:ascii="微软雅黑" w:hAnsi="微软雅黑" w:eastAsia="微软雅黑" w:cs="微软雅黑"/>
          <w:color w:val="auto"/>
          <w:sz w:val="24"/>
          <w:szCs w:val="24"/>
          <w:highlight w:val="none"/>
          <w:lang w:val="en-US"/>
        </w:rPr>
        <w:t>需</w:t>
      </w:r>
      <w:r>
        <w:rPr>
          <w:rFonts w:hint="eastAsia" w:ascii="微软雅黑" w:hAnsi="微软雅黑" w:eastAsia="微软雅黑" w:cs="微软雅黑"/>
          <w:color w:val="auto"/>
          <w:sz w:val="24"/>
          <w:szCs w:val="24"/>
          <w:highlight w:val="none"/>
        </w:rPr>
        <w:t>）。</w:t>
      </w:r>
    </w:p>
    <w:p w14:paraId="05481269">
      <w:pPr>
        <w:pStyle w:val="5"/>
        <w:ind w:firstLine="480"/>
        <w:rPr>
          <w:rFonts w:hint="eastAsia" w:ascii="微软雅黑" w:hAnsi="微软雅黑" w:eastAsia="微软雅黑" w:cs="微软雅黑"/>
          <w:color w:val="auto"/>
          <w:sz w:val="24"/>
          <w:szCs w:val="24"/>
          <w:highlight w:val="none"/>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3.合同签订前，采购代理机构应核实各项目投标人相应文件的真实性，如发现弄虚作假应上报采购人，同时拟制上报财政局相关文件；</w:t>
      </w:r>
    </w:p>
    <w:p w14:paraId="08E06604">
      <w:pPr>
        <w:pStyle w:val="5"/>
        <w:ind w:firstLine="48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w:t>
      </w:r>
      <w:r>
        <w:rPr>
          <w:rFonts w:hint="default" w:ascii="微软雅黑" w:hAnsi="微软雅黑" w:eastAsia="微软雅黑" w:cs="微软雅黑"/>
          <w:color w:val="auto"/>
          <w:sz w:val="24"/>
          <w:szCs w:val="24"/>
          <w:highlight w:val="none"/>
          <w:lang w:val="en-US"/>
        </w:rPr>
        <w:t>六</w:t>
      </w:r>
      <w:r>
        <w:rPr>
          <w:rFonts w:hint="eastAsia" w:ascii="微软雅黑" w:hAnsi="微软雅黑" w:eastAsia="微软雅黑" w:cs="微软雅黑"/>
          <w:color w:val="auto"/>
          <w:sz w:val="24"/>
          <w:szCs w:val="24"/>
          <w:highlight w:val="none"/>
        </w:rPr>
        <w:t>）</w:t>
      </w:r>
      <w:r>
        <w:rPr>
          <w:rFonts w:hint="default" w:ascii="微软雅黑" w:hAnsi="微软雅黑" w:eastAsia="微软雅黑" w:cs="微软雅黑"/>
          <w:color w:val="auto"/>
          <w:sz w:val="24"/>
          <w:szCs w:val="24"/>
          <w:highlight w:val="none"/>
          <w:lang w:val="en-US"/>
        </w:rPr>
        <w:t>其他</w:t>
      </w:r>
    </w:p>
    <w:p w14:paraId="5073159F">
      <w:pPr>
        <w:pStyle w:val="6"/>
        <w:ind w:firstLine="480"/>
        <w:rPr>
          <w:rFonts w:hint="eastAsia" w:ascii="微软雅黑" w:hAnsi="微软雅黑" w:eastAsia="微软雅黑" w:cs="微软雅黑"/>
          <w:color w:val="auto"/>
          <w:kern w:val="2"/>
          <w:szCs w:val="24"/>
          <w:highlight w:val="none"/>
        </w:rPr>
      </w:pPr>
      <w:r>
        <w:rPr>
          <w:rFonts w:hint="eastAsia" w:hAnsi="宋体" w:cs="宋体"/>
          <w:color w:val="auto"/>
          <w:sz w:val="20"/>
          <w:highlight w:val="none"/>
          <w:shd w:val="clear" w:color="auto" w:fill="FFFFFF"/>
        </w:rPr>
        <w:t>▲</w:t>
      </w:r>
      <w:r>
        <w:rPr>
          <w:rFonts w:hint="default" w:hAnsi="宋体" w:cs="宋体"/>
          <w:color w:val="auto"/>
          <w:sz w:val="24"/>
          <w:szCs w:val="24"/>
          <w:highlight w:val="none"/>
          <w:shd w:val="clear" w:color="auto" w:fill="FFFFFF"/>
          <w:lang w:val="en-US"/>
        </w:rPr>
        <w:t>1.</w:t>
      </w:r>
      <w:r>
        <w:rPr>
          <w:rFonts w:hint="default" w:ascii="微软雅黑" w:hAnsi="微软雅黑" w:eastAsia="微软雅黑" w:cs="微软雅黑"/>
          <w:color w:val="auto"/>
          <w:kern w:val="2"/>
          <w:szCs w:val="24"/>
          <w:highlight w:val="none"/>
          <w:lang w:val="en-US"/>
        </w:rPr>
        <w:t>档案整理。</w:t>
      </w: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负责采购资料的整理及归档，并于确定中标或成交人后，向采购人移交采购过程的采购情况报告电子档及纸质档（纸质档须装订成册，包括但不限于采购过程中产生的全部资料），所有音视频资料刻录成U盘并做好标识。</w:t>
      </w:r>
      <w:r>
        <w:rPr>
          <w:rFonts w:hint="default" w:ascii="微软雅黑" w:hAnsi="微软雅黑" w:eastAsia="微软雅黑" w:cs="微软雅黑"/>
          <w:color w:val="auto"/>
          <w:kern w:val="2"/>
          <w:szCs w:val="24"/>
          <w:highlight w:val="none"/>
          <w:lang w:val="en-US"/>
        </w:rPr>
        <w:t>同时，若采购人需要，须</w:t>
      </w:r>
      <w:r>
        <w:rPr>
          <w:rFonts w:hint="eastAsia" w:ascii="微软雅黑" w:hAnsi="微软雅黑" w:eastAsia="微软雅黑" w:cs="微软雅黑"/>
          <w:color w:val="auto"/>
          <w:kern w:val="2"/>
          <w:szCs w:val="24"/>
          <w:highlight w:val="none"/>
        </w:rPr>
        <w:t>派驻专人对采购人历年来采购项目档案进行专业的、规范化的整理和归档</w:t>
      </w:r>
      <w:r>
        <w:rPr>
          <w:rFonts w:hint="default" w:ascii="微软雅黑" w:hAnsi="微软雅黑" w:eastAsia="微软雅黑" w:cs="微软雅黑"/>
          <w:color w:val="auto"/>
          <w:kern w:val="2"/>
          <w:szCs w:val="24"/>
          <w:highlight w:val="none"/>
          <w:lang w:val="en-US"/>
        </w:rPr>
        <w:t>；</w:t>
      </w:r>
    </w:p>
    <w:p w14:paraId="3A07C616">
      <w:pPr>
        <w:ind w:firstLine="480"/>
        <w:rPr>
          <w:rFonts w:hint="eastAsia" w:ascii="宋体" w:hAnsi="宋体" w:cs="宋体"/>
          <w:color w:val="auto"/>
          <w:kern w:val="0"/>
          <w:sz w:val="20"/>
          <w:highlight w:val="none"/>
          <w:shd w:val="clear" w:color="auto" w:fill="FFFFFF"/>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2.</w:t>
      </w: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配合审计巡查。采购代理机构须无条件配合与接受采购人接受的各级审计、巡视工作。</w:t>
      </w:r>
    </w:p>
    <w:p w14:paraId="4DF6420D">
      <w:pPr>
        <w:ind w:firstLine="480"/>
        <w:rPr>
          <w:color w:val="auto"/>
          <w:highlight w:val="none"/>
        </w:rPr>
      </w:pPr>
      <w:r>
        <w:rPr>
          <w:rFonts w:hint="default" w:ascii="宋体" w:hAnsi="宋体" w:eastAsia="宋体" w:cs="宋体"/>
          <w:b w:val="0"/>
          <w:bCs w:val="0"/>
          <w:i w:val="0"/>
          <w:iCs w:val="0"/>
          <w:color w:val="auto"/>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3.政策更新及宣讲。</w:t>
      </w:r>
      <w:r>
        <w:rPr>
          <w:rFonts w:hint="eastAsia" w:ascii="微软雅黑" w:hAnsi="微软雅黑" w:eastAsia="微软雅黑" w:cs="微软雅黑"/>
          <w:color w:val="auto"/>
          <w:sz w:val="24"/>
          <w:szCs w:val="24"/>
          <w:highlight w:val="none"/>
        </w:rPr>
        <w:t>采购代理机构须不定期收集整理</w:t>
      </w:r>
      <w:r>
        <w:rPr>
          <w:rFonts w:hint="eastAsia" w:ascii="微软雅黑" w:hAnsi="微软雅黑" w:eastAsia="微软雅黑" w:cs="微软雅黑"/>
          <w:color w:val="auto"/>
          <w:sz w:val="24"/>
          <w:szCs w:val="24"/>
          <w:highlight w:val="none"/>
          <w:lang w:val="en-US" w:eastAsia="zh-CN"/>
        </w:rPr>
        <w:t>医院</w:t>
      </w:r>
      <w:r>
        <w:rPr>
          <w:rFonts w:hint="eastAsia" w:ascii="微软雅黑" w:hAnsi="微软雅黑" w:eastAsia="微软雅黑" w:cs="微软雅黑"/>
          <w:color w:val="auto"/>
          <w:sz w:val="24"/>
          <w:szCs w:val="24"/>
          <w:highlight w:val="none"/>
        </w:rPr>
        <w:t>采购及招标投标有关</w:t>
      </w:r>
      <w:r>
        <w:rPr>
          <w:rFonts w:hint="eastAsia" w:ascii="微软雅黑" w:hAnsi="微软雅黑" w:eastAsia="微软雅黑" w:cs="微软雅黑"/>
          <w:color w:val="auto"/>
          <w:sz w:val="24"/>
          <w:szCs w:val="24"/>
          <w:highlight w:val="none"/>
          <w:lang w:eastAsia="zh-CN"/>
        </w:rPr>
        <w:t>法律法规和地方</w:t>
      </w:r>
      <w:r>
        <w:rPr>
          <w:rFonts w:hint="eastAsia" w:ascii="微软雅黑" w:hAnsi="微软雅黑" w:eastAsia="微软雅黑" w:cs="微软雅黑"/>
          <w:color w:val="auto"/>
          <w:sz w:val="24"/>
          <w:szCs w:val="24"/>
          <w:highlight w:val="none"/>
        </w:rPr>
        <w:t>规章制度，及时更新并向采购人提供相关文件；在合同期内，对采购人提供不少于壹次</w:t>
      </w:r>
      <w:r>
        <w:rPr>
          <w:rFonts w:hint="eastAsia" w:ascii="微软雅黑" w:hAnsi="微软雅黑" w:eastAsia="微软雅黑" w:cs="微软雅黑"/>
          <w:color w:val="auto"/>
          <w:sz w:val="24"/>
          <w:szCs w:val="24"/>
          <w:highlight w:val="none"/>
          <w:lang w:val="en-US" w:eastAsia="zh-CN"/>
        </w:rPr>
        <w:t>医院</w:t>
      </w:r>
      <w:r>
        <w:rPr>
          <w:rFonts w:hint="eastAsia" w:ascii="微软雅黑" w:hAnsi="微软雅黑" w:eastAsia="微软雅黑" w:cs="微软雅黑"/>
          <w:color w:val="auto"/>
          <w:sz w:val="24"/>
          <w:szCs w:val="24"/>
          <w:highlight w:val="none"/>
        </w:rPr>
        <w:t>采购培训和相关政策宣讲</w:t>
      </w:r>
      <w:r>
        <w:rPr>
          <w:rFonts w:hint="default" w:ascii="微软雅黑" w:hAnsi="微软雅黑" w:eastAsia="微软雅黑" w:cs="微软雅黑"/>
          <w:color w:val="auto"/>
          <w:sz w:val="24"/>
          <w:szCs w:val="24"/>
          <w:highlight w:val="none"/>
          <w:lang w:val="en-US"/>
        </w:rPr>
        <w:t>；</w:t>
      </w:r>
    </w:p>
    <w:p w14:paraId="0AFB002C">
      <w:pPr>
        <w:spacing w:line="520" w:lineRule="exact"/>
        <w:ind w:firstLine="48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rPr>
        <w:t>▲</w:t>
      </w:r>
      <w:r>
        <w:rPr>
          <w:rFonts w:hint="default" w:ascii="微软雅黑" w:hAnsi="微软雅黑" w:eastAsia="微软雅黑" w:cs="微软雅黑"/>
          <w:color w:val="auto"/>
          <w:sz w:val="24"/>
          <w:szCs w:val="24"/>
          <w:highlight w:val="none"/>
          <w:lang w:val="en-US"/>
        </w:rPr>
        <w:t>4.</w:t>
      </w:r>
      <w:r>
        <w:rPr>
          <w:rFonts w:hint="eastAsia" w:ascii="微软雅黑" w:hAnsi="微软雅黑" w:eastAsia="微软雅黑" w:cs="微软雅黑"/>
          <w:color w:val="auto"/>
          <w:sz w:val="24"/>
          <w:szCs w:val="24"/>
          <w:highlight w:val="none"/>
        </w:rPr>
        <w:t>完成采购人交办的其他</w:t>
      </w:r>
      <w:r>
        <w:rPr>
          <w:rFonts w:hint="default" w:ascii="微软雅黑" w:hAnsi="微软雅黑" w:eastAsia="微软雅黑" w:cs="微软雅黑"/>
          <w:color w:val="auto"/>
          <w:sz w:val="24"/>
          <w:szCs w:val="24"/>
          <w:highlight w:val="none"/>
          <w:lang w:val="en-US"/>
        </w:rPr>
        <w:t>相关</w:t>
      </w:r>
      <w:r>
        <w:rPr>
          <w:rFonts w:hint="eastAsia" w:ascii="微软雅黑" w:hAnsi="微软雅黑" w:eastAsia="微软雅黑" w:cs="微软雅黑"/>
          <w:color w:val="auto"/>
          <w:sz w:val="24"/>
          <w:szCs w:val="24"/>
          <w:highlight w:val="none"/>
        </w:rPr>
        <w:t>工作。</w:t>
      </w:r>
    </w:p>
    <w:p w14:paraId="2B06B122">
      <w:pPr>
        <w:spacing w:line="520" w:lineRule="exact"/>
        <w:ind w:firstLine="570"/>
        <w:jc w:val="left"/>
        <w:rPr>
          <w:rFonts w:hint="eastAsia" w:ascii="微软雅黑" w:hAnsi="微软雅黑" w:eastAsia="微软雅黑" w:cs="微软雅黑"/>
          <w:b/>
          <w:bCs/>
          <w:color w:val="auto"/>
          <w:sz w:val="22"/>
          <w:szCs w:val="22"/>
          <w:highlight w:val="none"/>
        </w:rPr>
      </w:pPr>
      <w:r>
        <w:rPr>
          <w:rFonts w:hint="eastAsia" w:ascii="微软雅黑" w:hAnsi="微软雅黑" w:eastAsia="微软雅黑" w:cs="微软雅黑"/>
          <w:b/>
          <w:bCs/>
          <w:color w:val="auto"/>
          <w:sz w:val="22"/>
          <w:szCs w:val="22"/>
          <w:highlight w:val="none"/>
        </w:rPr>
        <w:t>特别说明：在任何情况下，采购人不保证成交采购代理机构在服务周期内所获取的业务量与业务收入。</w:t>
      </w:r>
    </w:p>
    <w:p w14:paraId="3BC47A5E">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28" w:name="_Toc14525"/>
      <w:bookmarkStart w:id="29" w:name="_Toc23214"/>
      <w:r>
        <w:rPr>
          <w:rFonts w:hint="eastAsia" w:ascii="微软雅黑" w:hAnsi="微软雅黑" w:eastAsia="微软雅黑" w:cs="微软雅黑"/>
          <w:color w:val="auto"/>
          <w:sz w:val="28"/>
          <w:szCs w:val="28"/>
          <w:highlight w:val="none"/>
        </w:rPr>
        <w:t>二、服务要求</w:t>
      </w:r>
      <w:bookmarkEnd w:id="28"/>
      <w:bookmarkEnd w:id="29"/>
    </w:p>
    <w:p w14:paraId="1785F0F6">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b/>
          <w:bCs/>
          <w:color w:val="auto"/>
          <w:sz w:val="24"/>
          <w:szCs w:val="24"/>
          <w:highlight w:val="none"/>
        </w:rPr>
        <w:t>（一）代理行为合法合规</w:t>
      </w:r>
    </w:p>
    <w:p w14:paraId="5D5DB930">
      <w:pPr>
        <w:numPr>
          <w:ilvl w:val="0"/>
          <w:numId w:val="0"/>
        </w:numPr>
        <w:spacing w:line="520" w:lineRule="exact"/>
        <w:ind w:firstLine="570" w:firstLineChars="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kern w:val="2"/>
          <w:sz w:val="24"/>
          <w:szCs w:val="24"/>
          <w:highlight w:val="none"/>
          <w:lang w:val="en-US" w:eastAsia="zh-CN" w:bidi="ar-SA"/>
        </w:rPr>
        <w:t>1.</w:t>
      </w:r>
      <w:r>
        <w:rPr>
          <w:rFonts w:hint="eastAsia" w:ascii="微软雅黑" w:hAnsi="微软雅黑" w:eastAsia="微软雅黑" w:cs="微软雅黑"/>
          <w:color w:val="auto"/>
          <w:sz w:val="24"/>
          <w:szCs w:val="24"/>
          <w:highlight w:val="none"/>
        </w:rPr>
        <w:t>采购代理机构必须严格执行国家采购法律法规，自觉接受采购人的业务指导和监督管理，全力维护采购人的合法权益；在代理服务中的整个招标采购过程需按照国家政府采购相关法律法规的要求，符合代理项目的招标采购流程，不得有营私舞弊的行为。如因没有执行相关政策规定，或擅自改变采购人需求而没有明确告知等，损害采购人利益的，采购人</w:t>
      </w:r>
      <w:r>
        <w:rPr>
          <w:rFonts w:hint="eastAsia" w:ascii="微软雅黑" w:hAnsi="微软雅黑" w:eastAsia="微软雅黑" w:cs="微软雅黑"/>
          <w:color w:val="auto"/>
          <w:sz w:val="24"/>
          <w:szCs w:val="24"/>
          <w:highlight w:val="none"/>
          <w:lang w:val="en-US" w:eastAsia="zh-CN"/>
        </w:rPr>
        <w:t>将</w:t>
      </w:r>
      <w:r>
        <w:rPr>
          <w:rFonts w:hint="eastAsia" w:ascii="微软雅黑" w:hAnsi="微软雅黑" w:eastAsia="微软雅黑" w:cs="微软雅黑"/>
          <w:color w:val="auto"/>
          <w:sz w:val="24"/>
          <w:szCs w:val="24"/>
          <w:highlight w:val="none"/>
        </w:rPr>
        <w:t>依法追究其责任，并上报当地主管部门或监管部门。</w:t>
      </w:r>
    </w:p>
    <w:p w14:paraId="2C6A2E01">
      <w:pPr>
        <w:numPr>
          <w:ilvl w:val="0"/>
          <w:numId w:val="0"/>
        </w:numPr>
        <w:spacing w:line="520" w:lineRule="exact"/>
        <w:ind w:firstLine="570" w:firstLineChars="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kern w:val="2"/>
          <w:sz w:val="24"/>
          <w:szCs w:val="24"/>
          <w:highlight w:val="none"/>
          <w:lang w:val="en-US" w:eastAsia="zh-CN" w:bidi="ar-SA"/>
        </w:rPr>
        <w:t>2.</w:t>
      </w:r>
      <w:r>
        <w:rPr>
          <w:rFonts w:hint="eastAsia" w:ascii="微软雅黑" w:hAnsi="微软雅黑" w:eastAsia="微软雅黑" w:cs="微软雅黑"/>
          <w:color w:val="auto"/>
          <w:sz w:val="24"/>
          <w:szCs w:val="24"/>
          <w:highlight w:val="none"/>
        </w:rPr>
        <w:t>采购人向采购代理机构提出的意见</w:t>
      </w:r>
      <w:r>
        <w:rPr>
          <w:rFonts w:hint="default" w:ascii="微软雅黑" w:hAnsi="微软雅黑" w:eastAsia="微软雅黑" w:cs="微软雅黑"/>
          <w:color w:val="auto"/>
          <w:sz w:val="24"/>
          <w:szCs w:val="24"/>
          <w:highlight w:val="none"/>
          <w:lang w:val="en-US"/>
        </w:rPr>
        <w:t>或</w:t>
      </w:r>
      <w:r>
        <w:rPr>
          <w:rFonts w:hint="eastAsia" w:ascii="微软雅黑" w:hAnsi="微软雅黑" w:eastAsia="微软雅黑" w:cs="微软雅黑"/>
          <w:color w:val="auto"/>
          <w:sz w:val="24"/>
          <w:szCs w:val="24"/>
          <w:highlight w:val="none"/>
        </w:rPr>
        <w:t>建议，采购代理机构应予以审核，如与采购相关法规不符，采购代理机构应当予以拒绝并提出相应意见或建议，确保代理项目合法、合规。</w:t>
      </w:r>
    </w:p>
    <w:p w14:paraId="17CEA670">
      <w:pPr>
        <w:numPr>
          <w:ilvl w:val="0"/>
          <w:numId w:val="0"/>
        </w:numPr>
        <w:spacing w:line="520" w:lineRule="exact"/>
        <w:ind w:firstLine="570" w:firstLineChars="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rPr>
        <w:t>.采购代理机构必须对采购人单位信息进行保密，在未经采购人事先书面同意的情况下，任何时候均不得将招标信息的任何内容或者从采购人处知晓的关于采购人单位的任何信息泄露给任何其它方。由此造成的影响由采购代理机构负全责，并取消资格，禁止代理我院任何采购项目，并依法追究其法律责任，上报当地主管部门或监管部门。</w:t>
      </w:r>
    </w:p>
    <w:p w14:paraId="3A4F4912">
      <w:pPr>
        <w:spacing w:line="520" w:lineRule="exact"/>
        <w:ind w:firstLine="570"/>
        <w:jc w:val="left"/>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pPr>
      <w:r>
        <w:rPr>
          <w:rFonts w:hint="default"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rPr>
        <w:t>.采购代理机构须遵守相关管理规定，接受采购人的满意度评价或考核</w:t>
      </w:r>
      <w:r>
        <w:rPr>
          <w:rFonts w:hint="default" w:ascii="微软雅黑" w:hAnsi="微软雅黑" w:eastAsia="微软雅黑" w:cs="微软雅黑"/>
          <w:color w:val="auto"/>
          <w:sz w:val="24"/>
          <w:szCs w:val="24"/>
          <w:highlight w:val="none"/>
          <w:lang w:val="en-US"/>
        </w:rPr>
        <w:t>。</w:t>
      </w: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若采购代理机构给出的建议违反采购相关法律法规或导致采购人受到质疑、投诉甚至处罚，采购人应当进行考评；</w:t>
      </w:r>
    </w:p>
    <w:p w14:paraId="7FDFCED6">
      <w:pPr>
        <w:spacing w:line="520" w:lineRule="exact"/>
        <w:ind w:firstLine="570"/>
        <w:jc w:val="left"/>
        <w:rPr>
          <w:rFonts w:hint="eastAsia" w:ascii="微软雅黑" w:hAnsi="微软雅黑" w:eastAsia="微软雅黑" w:cs="微软雅黑"/>
          <w:color w:val="auto"/>
          <w:sz w:val="24"/>
          <w:szCs w:val="24"/>
          <w:highlight w:val="none"/>
        </w:rPr>
      </w:pP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5.采购代理机构</w:t>
      </w:r>
      <w:r>
        <w:rPr>
          <w:rFonts w:hint="default" w:ascii="微软雅黑" w:hAnsi="微软雅黑" w:eastAsia="微软雅黑" w:cs="微软雅黑"/>
          <w:color w:val="auto"/>
          <w:sz w:val="24"/>
          <w:szCs w:val="24"/>
          <w:highlight w:val="none"/>
          <w:lang w:val="en-US"/>
        </w:rPr>
        <w:t>应</w:t>
      </w:r>
      <w:r>
        <w:rPr>
          <w:rFonts w:hint="eastAsia" w:ascii="微软雅黑" w:hAnsi="微软雅黑" w:eastAsia="微软雅黑" w:cs="微软雅黑"/>
          <w:color w:val="auto"/>
          <w:sz w:val="24"/>
          <w:szCs w:val="24"/>
          <w:highlight w:val="none"/>
        </w:rPr>
        <w:t>接受采购人以任何形式对</w:t>
      </w:r>
      <w:r>
        <w:rPr>
          <w:rFonts w:hint="default" w:ascii="微软雅黑" w:hAnsi="微软雅黑" w:eastAsia="微软雅黑" w:cs="微软雅黑"/>
          <w:color w:val="auto"/>
          <w:sz w:val="24"/>
          <w:szCs w:val="24"/>
          <w:highlight w:val="none"/>
          <w:lang w:val="en-US"/>
        </w:rPr>
        <w:t>采购代理机构</w:t>
      </w:r>
      <w:r>
        <w:rPr>
          <w:rFonts w:hint="eastAsia" w:ascii="微软雅黑" w:hAnsi="微软雅黑" w:eastAsia="微软雅黑" w:cs="微软雅黑"/>
          <w:color w:val="auto"/>
          <w:sz w:val="24"/>
          <w:szCs w:val="24"/>
          <w:highlight w:val="none"/>
        </w:rPr>
        <w:t>投标文件内容及采购人认为有必要的相关资料的真实性和有效性进行审查、验证，如不能或拒绝提供视为弃标或违约行为。</w:t>
      </w:r>
      <w:r>
        <w:rPr>
          <w:rFonts w:hint="default" w:ascii="微软雅黑" w:hAnsi="微软雅黑" w:eastAsia="微软雅黑" w:cs="微软雅黑"/>
          <w:color w:val="auto"/>
          <w:sz w:val="24"/>
          <w:szCs w:val="24"/>
          <w:highlight w:val="none"/>
          <w:lang w:val="en-US"/>
        </w:rPr>
        <w:t>如发现弄虚作假，采购人将书面报告财政局。</w:t>
      </w:r>
    </w:p>
    <w:p w14:paraId="56ADFC8E">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（二）团队人员要求</w:t>
      </w:r>
    </w:p>
    <w:p w14:paraId="4C982A5C">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w:t>
      </w:r>
      <w:r>
        <w:rPr>
          <w:rFonts w:hint="default" w:ascii="微软雅黑" w:hAnsi="微软雅黑" w:eastAsia="微软雅黑" w:cs="微软雅黑"/>
          <w:color w:val="auto"/>
          <w:sz w:val="24"/>
          <w:szCs w:val="24"/>
          <w:highlight w:val="none"/>
          <w:lang w:val="en-US"/>
        </w:rPr>
        <w:t>总体要求。</w:t>
      </w:r>
      <w:r>
        <w:rPr>
          <w:rFonts w:hint="eastAsia" w:ascii="微软雅黑" w:hAnsi="微软雅黑" w:eastAsia="微软雅黑" w:cs="微软雅黑"/>
          <w:color w:val="auto"/>
          <w:sz w:val="24"/>
          <w:szCs w:val="24"/>
          <w:highlight w:val="none"/>
        </w:rPr>
        <w:t>项目负责人1名，团队其他人员至少需包括资料员、档案管理人员、现场开标人员（至少2名），须按时按量完成采购人交办的工作。提供上述人员在本单位社保缴纳记录，要求详见资格审查部分。</w:t>
      </w:r>
    </w:p>
    <w:p w14:paraId="0A03B06D">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sz w:val="24"/>
          <w:szCs w:val="24"/>
          <w:highlight w:val="none"/>
        </w:rPr>
        <w:t>2.</w:t>
      </w:r>
      <w:r>
        <w:rPr>
          <w:rFonts w:hint="eastAsia" w:ascii="微软雅黑" w:hAnsi="微软雅黑" w:eastAsia="微软雅黑" w:cs="微软雅黑"/>
          <w:color w:val="auto"/>
          <w:sz w:val="24"/>
          <w:szCs w:val="24"/>
          <w:highlight w:val="none"/>
          <w:lang w:val="en-US" w:eastAsia="zh-CN"/>
        </w:rPr>
        <w:t>项目负责人</w:t>
      </w:r>
      <w:r>
        <w:rPr>
          <w:rFonts w:hint="default" w:ascii="微软雅黑" w:hAnsi="微软雅黑" w:eastAsia="微软雅黑" w:cs="微软雅黑"/>
          <w:color w:val="auto"/>
          <w:sz w:val="24"/>
          <w:szCs w:val="24"/>
          <w:highlight w:val="none"/>
          <w:lang w:val="en-US" w:eastAsia="zh-CN"/>
        </w:rPr>
        <w:t>。</w:t>
      </w:r>
      <w:r>
        <w:rPr>
          <w:rFonts w:hint="eastAsia" w:ascii="微软雅黑" w:hAnsi="微软雅黑" w:eastAsia="微软雅黑" w:cs="微软雅黑"/>
          <w:color w:val="auto"/>
          <w:sz w:val="24"/>
          <w:szCs w:val="24"/>
          <w:highlight w:val="none"/>
          <w:lang w:val="en-US" w:eastAsia="zh-CN"/>
        </w:rPr>
        <w:t>须深度参与采购项目，尽力保障代理服务高效地履行，</w:t>
      </w:r>
      <w:r>
        <w:rPr>
          <w:rFonts w:hint="eastAsia" w:ascii="微软雅黑" w:hAnsi="微软雅黑" w:eastAsia="微软雅黑" w:cs="微软雅黑"/>
          <w:color w:val="auto"/>
          <w:sz w:val="24"/>
          <w:szCs w:val="24"/>
          <w:highlight w:val="none"/>
        </w:rPr>
        <w:t>服务期限内若确实需要更换拟派负责人的，须征得采购人的同意，而且更换人员的技术职称和工作经验必须高于或等于拟派人员的技术职称和工作经验；</w:t>
      </w:r>
    </w:p>
    <w:p w14:paraId="7A953839">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sz w:val="24"/>
          <w:szCs w:val="24"/>
          <w:highlight w:val="none"/>
        </w:rPr>
        <w:t>3.</w:t>
      </w:r>
      <w:r>
        <w:rPr>
          <w:rFonts w:hint="eastAsia" w:ascii="微软雅黑" w:hAnsi="微软雅黑" w:eastAsia="微软雅黑" w:cs="微软雅黑"/>
          <w:color w:val="auto"/>
          <w:sz w:val="24"/>
          <w:szCs w:val="24"/>
          <w:highlight w:val="none"/>
          <w:lang w:val="en-US" w:eastAsia="zh-CN"/>
        </w:rPr>
        <w:t>团队其他人员</w:t>
      </w:r>
      <w:r>
        <w:rPr>
          <w:rFonts w:hint="default" w:ascii="微软雅黑" w:hAnsi="微软雅黑" w:eastAsia="微软雅黑" w:cs="微软雅黑"/>
          <w:color w:val="auto"/>
          <w:sz w:val="24"/>
          <w:szCs w:val="24"/>
          <w:highlight w:val="none"/>
          <w:lang w:val="en-US" w:eastAsia="zh-CN"/>
        </w:rPr>
        <w:t>。</w:t>
      </w:r>
      <w:r>
        <w:rPr>
          <w:rFonts w:hint="eastAsia" w:ascii="微软雅黑" w:hAnsi="微软雅黑" w:eastAsia="微软雅黑" w:cs="微软雅黑"/>
          <w:color w:val="auto"/>
          <w:sz w:val="24"/>
          <w:szCs w:val="24"/>
          <w:highlight w:val="none"/>
          <w:lang w:val="en-US" w:eastAsia="zh-CN"/>
        </w:rPr>
        <w:t>应按照本文件要求积极配合采购人完成代理工作，</w:t>
      </w:r>
      <w:r>
        <w:rPr>
          <w:rFonts w:hint="eastAsia" w:ascii="微软雅黑" w:hAnsi="微软雅黑" w:eastAsia="微软雅黑" w:cs="微软雅黑"/>
          <w:color w:val="auto"/>
          <w:sz w:val="24"/>
          <w:szCs w:val="24"/>
          <w:highlight w:val="none"/>
        </w:rPr>
        <w:t>服务期限内若确实需要更换拟派团队其他人员的，须征得采购人的同意</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更换人员的技术职称和工作经验必须高于或等于拟派人员的技术职称和工作经验；</w:t>
      </w:r>
    </w:p>
    <w:p w14:paraId="53CE58A6">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b/>
          <w:bCs/>
          <w:color w:val="auto"/>
          <w:sz w:val="24"/>
          <w:szCs w:val="24"/>
          <w:highlight w:val="none"/>
          <w:lang w:eastAsia="zh-CN"/>
        </w:rPr>
        <w:t>（</w:t>
      </w:r>
      <w:r>
        <w:rPr>
          <w:rFonts w:hint="eastAsia" w:ascii="微软雅黑" w:hAnsi="微软雅黑" w:eastAsia="微软雅黑" w:cs="微软雅黑"/>
          <w:b/>
          <w:bCs/>
          <w:color w:val="auto"/>
          <w:sz w:val="24"/>
          <w:szCs w:val="24"/>
          <w:highlight w:val="none"/>
        </w:rPr>
        <w:t>三）服务质量要求</w:t>
      </w:r>
    </w:p>
    <w:p w14:paraId="70E62A33">
      <w:pPr>
        <w:autoSpaceDE w:val="0"/>
        <w:autoSpaceDN w:val="0"/>
        <w:adjustRightInd w:val="0"/>
        <w:spacing w:line="240" w:lineRule="auto"/>
        <w:ind w:firstLine="480" w:firstLineChars="0"/>
        <w:jc w:val="left"/>
        <w:rPr>
          <w:rFonts w:hint="default" w:ascii="微软雅黑" w:hAnsi="微软雅黑" w:eastAsia="微软雅黑" w:cs="微软雅黑"/>
          <w:b w:val="0"/>
          <w:bCs w:val="0"/>
          <w:i w:val="0"/>
          <w:iCs w:val="0"/>
          <w:color w:val="auto"/>
          <w:sz w:val="24"/>
          <w:szCs w:val="24"/>
          <w:highlight w:val="none"/>
          <w:vertAlign w:val="baseline"/>
          <w:lang w:val="en-US" w:eastAsia="zh-CN" w:bidi="ar-SA"/>
        </w:rPr>
      </w:pPr>
      <w:r>
        <w:rPr>
          <w:rFonts w:hint="default" w:ascii="宋体" w:hAnsi="宋体" w:eastAsia="宋体" w:cs="宋体"/>
          <w:b w:val="0"/>
          <w:bCs w:val="0"/>
          <w:i w:val="0"/>
          <w:iCs w:val="0"/>
          <w:color w:val="auto"/>
          <w:kern w:val="0"/>
          <w:sz w:val="20"/>
          <w:szCs w:val="20"/>
          <w:highlight w:val="none"/>
          <w:shd w:val="clear" w:color="FFFFFF" w:fill="FFFFFF"/>
          <w:vertAlign w:val="baseline"/>
          <w:lang w:val="en-US" w:eastAsia="zh-CN" w:bidi="ar-SA"/>
        </w:rPr>
        <w:t>※</w:t>
      </w:r>
      <w:r>
        <w:rPr>
          <w:rFonts w:hint="default" w:ascii="微软雅黑" w:hAnsi="微软雅黑" w:eastAsia="微软雅黑" w:cs="微软雅黑"/>
          <w:color w:val="auto"/>
          <w:sz w:val="24"/>
          <w:szCs w:val="24"/>
          <w:highlight w:val="none"/>
          <w:lang w:val="en-US"/>
        </w:rPr>
        <w:t>1.</w:t>
      </w:r>
      <w:r>
        <w:rPr>
          <w:rFonts w:hint="default" w:ascii="微软雅黑" w:hAnsi="微软雅黑" w:eastAsia="微软雅黑" w:cs="微软雅黑"/>
          <w:b w:val="0"/>
          <w:bCs w:val="0"/>
          <w:i w:val="0"/>
          <w:iCs w:val="0"/>
          <w:color w:val="auto"/>
          <w:sz w:val="24"/>
          <w:szCs w:val="24"/>
          <w:highlight w:val="none"/>
          <w:vertAlign w:val="baseline"/>
          <w:lang w:val="en-US" w:eastAsia="zh-CN" w:bidi="ar-SA"/>
        </w:rPr>
        <w:t>专业化支持</w:t>
      </w:r>
    </w:p>
    <w:p w14:paraId="4B0DD164">
      <w:pPr>
        <w:autoSpaceDE w:val="0"/>
        <w:autoSpaceDN w:val="0"/>
        <w:adjustRightInd w:val="0"/>
        <w:spacing w:line="240" w:lineRule="auto"/>
        <w:ind w:firstLine="480" w:firstLineChars="0"/>
        <w:jc w:val="left"/>
        <w:rPr>
          <w:highlight w:val="none"/>
        </w:rPr>
      </w:pPr>
      <w:r>
        <w:rPr>
          <w:rFonts w:hint="default" w:ascii="微软雅黑" w:hAnsi="微软雅黑" w:eastAsia="微软雅黑" w:cs="微软雅黑"/>
          <w:b w:val="0"/>
          <w:bCs w:val="0"/>
          <w:i w:val="0"/>
          <w:iCs w:val="0"/>
          <w:color w:val="auto"/>
          <w:sz w:val="24"/>
          <w:szCs w:val="24"/>
          <w:highlight w:val="none"/>
          <w:vertAlign w:val="baseline"/>
          <w:lang w:val="en-US" w:eastAsia="zh-CN" w:bidi="ar-SA"/>
        </w:rPr>
        <w:t>（1）</w:t>
      </w: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采购代理机构须提供常设7天×24小时服务专线和长期的免费技术支持以及全流程咨询服务。如采购人需要，需在3小时内到达现场；</w:t>
      </w:r>
    </w:p>
    <w:p w14:paraId="30022293">
      <w:pPr>
        <w:spacing w:line="240" w:lineRule="auto"/>
        <w:ind w:firstLine="480" w:firstLineChars="200"/>
        <w:jc w:val="both"/>
        <w:rPr>
          <w:highlight w:val="none"/>
        </w:rPr>
      </w:pP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（2）采购代理机构应运用自身的专业技能，积极为采购人提出专业建议和解决方案。对于采购人提出的问题，若未能给出专业建议、解决方案或未给出解决途径，采购人可进行考评；</w:t>
      </w:r>
    </w:p>
    <w:p w14:paraId="0B15C601">
      <w:pPr>
        <w:spacing w:line="520" w:lineRule="exact"/>
        <w:ind w:firstLine="570"/>
        <w:jc w:val="left"/>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pP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3）采购代理机构应有预判项目风险的能力，及时提醒采购人可能存在的风险点和应对措施。在任何情况下，若因采购代理机构的原因致使委托代理事项难以高效执行，甚至引起纠纷、质疑、投诉、处罚的，采购代理机构需承担相应责任，采购人有权视后果轻重给予包括但不局限于暂停委托、无条件解除协议等处罚；</w:t>
      </w:r>
    </w:p>
    <w:p w14:paraId="094A3057">
      <w:pPr>
        <w:spacing w:line="520" w:lineRule="exact"/>
        <w:ind w:firstLine="570"/>
        <w:jc w:val="left"/>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pP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（4）采购代理机构承接每个项目前，应充分了解掌握采购项目需求情况，紧贴项目实际拟制各类采购文书，严禁随意将以往的采购文件复制剪贴，糊弄应付，甚至错漏百出。</w:t>
      </w:r>
    </w:p>
    <w:p w14:paraId="6D328FFE">
      <w:pPr>
        <w:spacing w:line="520" w:lineRule="exact"/>
        <w:ind w:firstLine="570"/>
        <w:jc w:val="left"/>
        <w:rPr>
          <w:rFonts w:hint="eastAsia" w:ascii="微软雅黑" w:hAnsi="微软雅黑" w:eastAsia="微软雅黑" w:cs="微软雅黑"/>
          <w:color w:val="auto"/>
          <w:sz w:val="24"/>
          <w:szCs w:val="24"/>
          <w:highlight w:val="none"/>
        </w:rPr>
      </w:pPr>
      <w:r>
        <w:rPr>
          <w:rFonts w:hint="default" w:ascii="微软雅黑" w:hAnsi="微软雅黑" w:eastAsia="微软雅黑" w:cs="微软雅黑"/>
          <w:b w:val="0"/>
          <w:bCs w:val="0"/>
          <w:i w:val="0"/>
          <w:iCs w:val="0"/>
          <w:color w:val="auto"/>
          <w:kern w:val="2"/>
          <w:sz w:val="24"/>
          <w:szCs w:val="24"/>
          <w:highlight w:val="none"/>
          <w:vertAlign w:val="baseline"/>
          <w:lang w:val="en-US" w:eastAsia="zh-CN" w:bidi="ar-SA"/>
        </w:rPr>
        <w:t>（5）采购代理机构应具有履行合同所必须的场所、设施设备和专业技术能力，如监控设备（开评标室均需），电子评标所需电脑设备，纸笔等。采购代理机构应保证医院审计科、纪检监察科或上级部门可随时调取开评标现场监控资料。</w:t>
      </w:r>
    </w:p>
    <w:p w14:paraId="26BB6D46">
      <w:pPr>
        <w:spacing w:line="520" w:lineRule="exact"/>
        <w:ind w:firstLine="570"/>
        <w:jc w:val="left"/>
        <w:rPr>
          <w:rFonts w:hint="eastAsia" w:ascii="微软雅黑" w:hAnsi="微软雅黑" w:eastAsia="微软雅黑" w:cs="微软雅黑"/>
          <w:color w:val="auto"/>
          <w:sz w:val="24"/>
          <w:szCs w:val="24"/>
          <w:highlight w:val="none"/>
        </w:rPr>
      </w:pPr>
      <w:r>
        <w:rPr>
          <w:rFonts w:hint="default" w:ascii="微软雅黑" w:hAnsi="微软雅黑" w:eastAsia="微软雅黑" w:cs="微软雅黑"/>
          <w:color w:val="auto"/>
          <w:sz w:val="24"/>
          <w:szCs w:val="24"/>
          <w:highlight w:val="none"/>
          <w:lang w:val="en-US"/>
        </w:rPr>
        <w:t>2.</w:t>
      </w:r>
      <w:r>
        <w:rPr>
          <w:rFonts w:hint="eastAsia" w:ascii="微软雅黑" w:hAnsi="微软雅黑" w:eastAsia="微软雅黑" w:cs="微软雅黑"/>
          <w:color w:val="auto"/>
          <w:sz w:val="24"/>
          <w:szCs w:val="24"/>
          <w:highlight w:val="none"/>
        </w:rPr>
        <w:t>各委托项目的服务期</w:t>
      </w:r>
    </w:p>
    <w:p w14:paraId="5383679B">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确定</w:t>
      </w:r>
      <w:r>
        <w:rPr>
          <w:rFonts w:hint="eastAsia" w:ascii="微软雅黑" w:hAnsi="微软雅黑" w:eastAsia="微软雅黑" w:cs="微软雅黑"/>
          <w:color w:val="auto"/>
          <w:sz w:val="24"/>
          <w:szCs w:val="24"/>
          <w:highlight w:val="none"/>
          <w:lang w:eastAsia="zh-CN"/>
        </w:rPr>
        <w:t>采购</w:t>
      </w:r>
      <w:r>
        <w:rPr>
          <w:rFonts w:hint="eastAsia" w:ascii="微软雅黑" w:hAnsi="微软雅黑" w:eastAsia="微软雅黑" w:cs="微软雅黑"/>
          <w:color w:val="auto"/>
          <w:sz w:val="24"/>
          <w:szCs w:val="24"/>
          <w:highlight w:val="none"/>
        </w:rPr>
        <w:t>代理机构之日起，至所有采购项目的中标通知书发出及依法办理完成各项采购、中标手续并将各项资料完整地移交给采购人，且各方按协议完成保证金和手续费的应付、应收、应退的各项事宜为止。如有特殊情况采购人取消采购任务或提出终止委托的除外。</w:t>
      </w:r>
      <w:r>
        <w:rPr>
          <w:rFonts w:hint="eastAsia" w:ascii="微软雅黑" w:hAnsi="微软雅黑" w:eastAsia="微软雅黑" w:cs="微软雅黑"/>
          <w:color w:val="auto"/>
          <w:sz w:val="24"/>
          <w:szCs w:val="24"/>
          <w:highlight w:val="none"/>
          <w:lang w:val="en-US" w:eastAsia="zh-CN"/>
        </w:rPr>
        <w:t>档案管理时间不计入本服务期中计算，按照各采购代理机构响应的时间执行。</w:t>
      </w:r>
    </w:p>
    <w:p w14:paraId="3E94E949">
      <w:pPr>
        <w:spacing w:line="520" w:lineRule="exact"/>
        <w:ind w:firstLine="570"/>
        <w:jc w:val="left"/>
        <w:rPr>
          <w:rFonts w:hint="eastAsia" w:ascii="微软雅黑" w:hAnsi="微软雅黑" w:eastAsia="微软雅黑" w:cs="微软雅黑"/>
          <w:color w:val="auto"/>
          <w:sz w:val="24"/>
          <w:szCs w:val="24"/>
          <w:highlight w:val="none"/>
        </w:rPr>
      </w:pPr>
      <w:r>
        <w:rPr>
          <w:rFonts w:hint="default" w:ascii="微软雅黑" w:hAnsi="微软雅黑" w:eastAsia="微软雅黑" w:cs="微软雅黑"/>
          <w:color w:val="auto"/>
          <w:sz w:val="24"/>
          <w:szCs w:val="24"/>
          <w:highlight w:val="none"/>
          <w:lang w:val="en-US"/>
        </w:rPr>
        <w:t>3</w:t>
      </w:r>
      <w:r>
        <w:rPr>
          <w:rFonts w:hint="eastAsia" w:ascii="微软雅黑" w:hAnsi="微软雅黑" w:eastAsia="微软雅黑" w:cs="微软雅黑"/>
          <w:color w:val="auto"/>
          <w:sz w:val="24"/>
          <w:szCs w:val="24"/>
          <w:highlight w:val="none"/>
        </w:rPr>
        <w:t>.</w:t>
      </w:r>
      <w:r>
        <w:rPr>
          <w:rFonts w:hint="default" w:ascii="微软雅黑" w:hAnsi="微软雅黑" w:eastAsia="微软雅黑" w:cs="微软雅黑"/>
          <w:color w:val="auto"/>
          <w:sz w:val="24"/>
          <w:szCs w:val="24"/>
          <w:highlight w:val="none"/>
          <w:lang w:val="en-US"/>
        </w:rPr>
        <w:t>时限要求。</w:t>
      </w:r>
      <w:r>
        <w:rPr>
          <w:rFonts w:hint="eastAsia" w:ascii="微软雅黑" w:hAnsi="微软雅黑" w:eastAsia="微软雅黑" w:cs="微软雅黑"/>
          <w:color w:val="auto"/>
          <w:sz w:val="24"/>
          <w:szCs w:val="24"/>
          <w:highlight w:val="none"/>
        </w:rPr>
        <w:t>以下为</w:t>
      </w:r>
      <w:r>
        <w:rPr>
          <w:rFonts w:hint="default" w:ascii="微软雅黑" w:hAnsi="微软雅黑" w:eastAsia="微软雅黑" w:cs="微软雅黑"/>
          <w:color w:val="auto"/>
          <w:sz w:val="24"/>
          <w:szCs w:val="24"/>
          <w:highlight w:val="none"/>
          <w:lang w:val="en-US"/>
        </w:rPr>
        <w:t>各项目</w:t>
      </w:r>
      <w:r>
        <w:rPr>
          <w:rFonts w:hint="eastAsia" w:ascii="微软雅黑" w:hAnsi="微软雅黑" w:eastAsia="微软雅黑" w:cs="微软雅黑"/>
          <w:color w:val="auto"/>
          <w:sz w:val="24"/>
          <w:szCs w:val="24"/>
          <w:highlight w:val="none"/>
        </w:rPr>
        <w:t>工作时限一般要求，紧急情况下的时限要求以采购人通知为准：</w:t>
      </w:r>
    </w:p>
    <w:p w14:paraId="6E28E513">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（1）采购（招标）前期报建或需求调查阶段（如有），采购代理机构应在2个工作日内拟定完毕资料文件并传回采购人。 </w:t>
      </w:r>
    </w:p>
    <w:p w14:paraId="5F83B34B">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采购（招标）文件编制阶段，采购代理机构应在2个工作日内拟定初稿传采购人审核，在收到采购人修订意见后1个工作日内完成修改，定稿经采购人确认及相关部门审查备案（如需）后，采购代理机构应在1个工作日内对外发布。</w:t>
      </w:r>
    </w:p>
    <w:p w14:paraId="6FE819F0">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（3）答疑补遗阶段，采购代理机构应及时向采购人反馈质疑，提出处理建议，并在法定时间（若无法定时间，按采购人内控制度或采购文件执行）内</w:t>
      </w:r>
      <w:r>
        <w:rPr>
          <w:rFonts w:hint="default" w:ascii="微软雅黑" w:hAnsi="微软雅黑" w:eastAsia="微软雅黑" w:cs="微软雅黑"/>
          <w:color w:val="auto"/>
          <w:sz w:val="24"/>
          <w:szCs w:val="24"/>
          <w:highlight w:val="none"/>
          <w:lang w:val="en-US"/>
        </w:rPr>
        <w:t>完成</w:t>
      </w:r>
      <w:r>
        <w:rPr>
          <w:rFonts w:hint="eastAsia" w:ascii="微软雅黑" w:hAnsi="微软雅黑" w:eastAsia="微软雅黑" w:cs="微软雅黑"/>
          <w:color w:val="auto"/>
          <w:sz w:val="24"/>
          <w:szCs w:val="24"/>
          <w:highlight w:val="none"/>
        </w:rPr>
        <w:t>答疑、补遗。</w:t>
      </w:r>
    </w:p>
    <w:p w14:paraId="09544C28">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w:t>
      </w:r>
      <w:r>
        <w:rPr>
          <w:rFonts w:hint="default" w:ascii="微软雅黑" w:hAnsi="微软雅黑" w:eastAsia="微软雅黑" w:cs="微软雅黑"/>
          <w:color w:val="auto"/>
          <w:sz w:val="24"/>
          <w:szCs w:val="24"/>
          <w:highlight w:val="none"/>
          <w:lang w:val="en-US"/>
        </w:rPr>
        <w:t>结果公示相关时限要求参照政府采购执行；</w:t>
      </w:r>
    </w:p>
    <w:p w14:paraId="1C85D972">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档案整理阶段，采购代理机构应在发出成交（中标）通知书后7日内按采购人规定整理1套完整采购（招标）档案资料并移交至采购人指定地点（封存资料的项目采购代理机构应当及时启封资料，并在启封后2个工作日内移交），并按采购人要求填报项目采购（招标）相关表格，同时采购代理机构应按规定留存一套完整采购（招标）档案资料存档15年。</w:t>
      </w:r>
    </w:p>
    <w:p w14:paraId="49DDB072">
      <w:pPr>
        <w:spacing w:line="520" w:lineRule="exact"/>
        <w:ind w:firstLine="570"/>
        <w:jc w:val="left"/>
        <w:rPr>
          <w:rFonts w:hint="eastAsia" w:ascii="微软雅黑" w:hAnsi="微软雅黑" w:eastAsia="微软雅黑" w:cs="微软雅黑"/>
          <w:b/>
          <w:bCs/>
          <w:color w:val="auto"/>
          <w:sz w:val="24"/>
          <w:szCs w:val="24"/>
          <w:highlight w:val="none"/>
        </w:rPr>
      </w:pPr>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kern w:val="2"/>
          <w:sz w:val="24"/>
          <w:szCs w:val="24"/>
          <w:highlight w:val="none"/>
          <w:shd w:val="clear"/>
          <w:lang w:val="en-US" w:eastAsia="zh-CN"/>
        </w:rPr>
        <w:t>4.</w:t>
      </w:r>
      <w:r>
        <w:rPr>
          <w:rFonts w:hint="eastAsia" w:ascii="微软雅黑" w:hAnsi="微软雅黑" w:eastAsia="微软雅黑" w:cs="微软雅黑"/>
          <w:b/>
          <w:bCs/>
          <w:color w:val="auto"/>
          <w:sz w:val="24"/>
          <w:szCs w:val="24"/>
          <w:highlight w:val="none"/>
        </w:rPr>
        <w:t>提供档案管理制度、档案管理人员基本信息、档案存储地点和照片、档案储存地的房屋购买或房屋租赁的合同（原件必查），中标后采购人有权进行实地考察并不定期查看归档情况，若发现虚假应标，采购人有权直接解除合同。</w:t>
      </w:r>
    </w:p>
    <w:p w14:paraId="048A6964">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0" w:name="_Toc21717"/>
      <w:bookmarkStart w:id="31" w:name="_Toc8163"/>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sz w:val="28"/>
          <w:szCs w:val="28"/>
          <w:highlight w:val="none"/>
        </w:rPr>
        <w:t>三、采购代理服务费的收取标准</w:t>
      </w:r>
      <w:bookmarkEnd w:id="30"/>
      <w:bookmarkEnd w:id="31"/>
    </w:p>
    <w:p w14:paraId="15A946EE">
      <w:pPr>
        <w:pStyle w:val="14"/>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（一）项目代理服务费分为“按标准下浮率收费”、“最低收费”、“浮动收费”三种方式： </w:t>
      </w:r>
    </w:p>
    <w:p w14:paraId="4D294747">
      <w:pPr>
        <w:pStyle w:val="14"/>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1.按标准</w:t>
      </w:r>
      <w:r>
        <w:rPr>
          <w:rFonts w:hint="default" w:ascii="微软雅黑" w:hAnsi="微软雅黑" w:eastAsia="微软雅黑" w:cs="微软雅黑"/>
          <w:color w:val="auto"/>
          <w:highlight w:val="none"/>
          <w:lang w:val="en-US"/>
        </w:rPr>
        <w:t>下浮率</w:t>
      </w:r>
      <w:r>
        <w:rPr>
          <w:rFonts w:hint="eastAsia" w:ascii="微软雅黑" w:hAnsi="微软雅黑" w:eastAsia="微软雅黑" w:cs="微软雅黑"/>
          <w:color w:val="auto"/>
          <w:highlight w:val="none"/>
        </w:rPr>
        <w:t>收费：</w:t>
      </w:r>
      <w:r>
        <w:rPr>
          <w:rFonts w:hint="default" w:ascii="微软雅黑" w:hAnsi="微软雅黑" w:eastAsia="微软雅黑" w:cs="微软雅黑"/>
          <w:color w:val="auto"/>
          <w:highlight w:val="none"/>
          <w:lang w:val="en-US"/>
        </w:rPr>
        <w:t>收入类采购</w:t>
      </w:r>
      <w:r>
        <w:rPr>
          <w:rFonts w:hint="eastAsia" w:ascii="微软雅黑" w:hAnsi="微软雅黑" w:eastAsia="微软雅黑" w:cs="微软雅黑"/>
          <w:color w:val="auto"/>
          <w:highlight w:val="none"/>
        </w:rPr>
        <w:t>根据以下标准并结合所投折扣率进行计算（折扣率为固定值，不得为区间值，计算后精确到小数点后两位。）</w:t>
      </w:r>
    </w:p>
    <w:p w14:paraId="1A9B81F7">
      <w:pPr>
        <w:pStyle w:val="14"/>
        <w:ind w:firstLine="480" w:firstLineChars="200"/>
        <w:rPr>
          <w:rFonts w:hint="eastAsia" w:ascii="微软雅黑" w:hAnsi="微软雅黑" w:eastAsia="微软雅黑" w:cs="微软雅黑"/>
          <w:color w:val="auto"/>
          <w:highlight w:val="none"/>
        </w:rPr>
      </w:pPr>
    </w:p>
    <w:p w14:paraId="148682AE">
      <w:pPr>
        <w:pStyle w:val="14"/>
        <w:ind w:firstLine="480" w:firstLineChars="200"/>
        <w:rPr>
          <w:rFonts w:hint="eastAsia" w:ascii="微软雅黑" w:hAnsi="微软雅黑" w:eastAsia="微软雅黑" w:cs="微软雅黑"/>
          <w:strike/>
          <w:color w:val="auto"/>
          <w:highlight w:val="none"/>
        </w:rPr>
      </w:pPr>
    </w:p>
    <w:tbl>
      <w:tblPr>
        <w:tblStyle w:val="15"/>
        <w:tblpPr w:leftFromText="180" w:rightFromText="180" w:vertAnchor="text" w:horzAnchor="page" w:tblpX="1764" w:tblpY="-5"/>
        <w:tblOverlap w:val="never"/>
        <w:tblW w:w="8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2"/>
        <w:gridCol w:w="1833"/>
        <w:gridCol w:w="1767"/>
        <w:gridCol w:w="2066"/>
      </w:tblGrid>
      <w:tr w14:paraId="03F7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112" w:type="dxa"/>
            <w:tcBorders>
              <w:tl2br w:val="single" w:color="auto" w:sz="4" w:space="0"/>
            </w:tcBorders>
          </w:tcPr>
          <w:p w14:paraId="34BDB7F2">
            <w:pPr>
              <w:spacing w:line="520" w:lineRule="exact"/>
              <w:ind w:firstLine="1682" w:firstLineChars="801"/>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mc:AlternateContent>
                <mc:Choice Requires="wps">
                  <w:drawing>
                    <wp:anchor distT="0" distB="0" distL="0" distR="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1026" name="直接连接符 2"/>
                      <wp:cNvGraphicFramePr/>
                      <a:graphic xmlns:a="http://schemas.openxmlformats.org/drawingml/2006/main">
                        <a:graphicData uri="http://schemas.microsoft.com/office/word/2010/wordprocessingShape">
                          <wps:wsp>
                            <wps:cNvCnPr/>
                            <wps:spPr>
                              <a:xfrm>
                                <a:off x="0" y="0"/>
                                <a:ext cx="635" cy="635"/>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2"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z75g9YAAAAIAQAADwAAAAAAAAABACAAAAAiAAAAZHJzL2Rvd25yZXYueG1sUEsBAhQAFAAAAAgA&#10;h07iQIzCGqbuAQAA4wMAAA4AAAAAAAAAAQAgAAAAJQEAAGRycy9lMm9Eb2MueG1sUEsFBgAAAAAG&#10;AAYAWQEAAIUFAAAAAA==&#10;">
                      <v:fill on="f" focussize="0,0"/>
                      <v:stroke color="#000000" joinstyle="round"/>
                      <v:imagedata o:title=""/>
                      <o:lock v:ext="edit" aspectratio="f"/>
                    </v:line>
                  </w:pict>
                </mc:Fallback>
              </mc:AlternateContent>
            </w:r>
            <w:r>
              <w:rPr>
                <w:rFonts w:hint="eastAsia" w:ascii="微软雅黑" w:hAnsi="微软雅黑" w:eastAsia="微软雅黑" w:cs="微软雅黑"/>
                <w:color w:val="auto"/>
                <w:sz w:val="21"/>
                <w:szCs w:val="21"/>
                <w:highlight w:val="none"/>
              </w:rPr>
              <w:t>招标类型</w:t>
            </w:r>
          </w:p>
          <w:p w14:paraId="22001CB5">
            <w:pPr>
              <w:spacing w:line="520" w:lineRule="exact"/>
              <w:ind w:firstLine="210" w:firstLineChars="10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中标金额（万元）</w:t>
            </w:r>
          </w:p>
        </w:tc>
        <w:tc>
          <w:tcPr>
            <w:tcW w:w="1833" w:type="dxa"/>
            <w:vAlign w:val="center"/>
          </w:tcPr>
          <w:p w14:paraId="5AD8FF8B">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货物招标</w:t>
            </w:r>
          </w:p>
        </w:tc>
        <w:tc>
          <w:tcPr>
            <w:tcW w:w="1767" w:type="dxa"/>
            <w:vAlign w:val="center"/>
          </w:tcPr>
          <w:p w14:paraId="16354688">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服务招标</w:t>
            </w:r>
          </w:p>
        </w:tc>
        <w:tc>
          <w:tcPr>
            <w:tcW w:w="2066" w:type="dxa"/>
            <w:vAlign w:val="center"/>
          </w:tcPr>
          <w:p w14:paraId="45EF2E40">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工程招标</w:t>
            </w:r>
          </w:p>
        </w:tc>
      </w:tr>
      <w:tr w14:paraId="0382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11210B23">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100以下</w:t>
            </w:r>
          </w:p>
        </w:tc>
        <w:tc>
          <w:tcPr>
            <w:tcW w:w="1833" w:type="dxa"/>
            <w:vAlign w:val="center"/>
          </w:tcPr>
          <w:p w14:paraId="7E760E88">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w:t>
            </w:r>
          </w:p>
        </w:tc>
        <w:tc>
          <w:tcPr>
            <w:tcW w:w="1767" w:type="dxa"/>
            <w:vAlign w:val="center"/>
          </w:tcPr>
          <w:p w14:paraId="3B8EBA86">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1.5%</w:t>
            </w:r>
          </w:p>
        </w:tc>
        <w:tc>
          <w:tcPr>
            <w:tcW w:w="2066" w:type="dxa"/>
            <w:vAlign w:val="center"/>
          </w:tcPr>
          <w:p w14:paraId="00A8BBEA">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w:t>
            </w:r>
          </w:p>
        </w:tc>
      </w:tr>
      <w:tr w14:paraId="3213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563C274A">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100-200</w:t>
            </w:r>
          </w:p>
        </w:tc>
        <w:tc>
          <w:tcPr>
            <w:tcW w:w="1833" w:type="dxa"/>
            <w:vAlign w:val="center"/>
          </w:tcPr>
          <w:p w14:paraId="3D95E767">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1.1%</w:t>
            </w:r>
          </w:p>
        </w:tc>
        <w:tc>
          <w:tcPr>
            <w:tcW w:w="1767" w:type="dxa"/>
            <w:vAlign w:val="center"/>
          </w:tcPr>
          <w:p w14:paraId="4538A6C1">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0.8%</w:t>
            </w:r>
          </w:p>
        </w:tc>
        <w:tc>
          <w:tcPr>
            <w:tcW w:w="2066" w:type="dxa"/>
            <w:vAlign w:val="center"/>
          </w:tcPr>
          <w:p w14:paraId="6CB318D1">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w:t>
            </w:r>
          </w:p>
        </w:tc>
      </w:tr>
      <w:tr w14:paraId="1B32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74460026">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200-500</w:t>
            </w:r>
          </w:p>
        </w:tc>
        <w:tc>
          <w:tcPr>
            <w:tcW w:w="1833" w:type="dxa"/>
            <w:vAlign w:val="center"/>
          </w:tcPr>
          <w:p w14:paraId="102318ED">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1.08%</w:t>
            </w:r>
          </w:p>
        </w:tc>
        <w:tc>
          <w:tcPr>
            <w:tcW w:w="1767" w:type="dxa"/>
            <w:vAlign w:val="center"/>
          </w:tcPr>
          <w:p w14:paraId="56BA3258">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0.78%</w:t>
            </w:r>
          </w:p>
        </w:tc>
        <w:tc>
          <w:tcPr>
            <w:tcW w:w="2066" w:type="dxa"/>
            <w:vAlign w:val="center"/>
          </w:tcPr>
          <w:p w14:paraId="7620E10B">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0.69%</w:t>
            </w:r>
          </w:p>
        </w:tc>
      </w:tr>
      <w:tr w14:paraId="3A1F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4195F590">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500-1000</w:t>
            </w:r>
          </w:p>
        </w:tc>
        <w:tc>
          <w:tcPr>
            <w:tcW w:w="1833" w:type="dxa"/>
            <w:vAlign w:val="center"/>
          </w:tcPr>
          <w:p w14:paraId="5F689FE8">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0.76%</w:t>
            </w:r>
          </w:p>
        </w:tc>
        <w:tc>
          <w:tcPr>
            <w:tcW w:w="1767" w:type="dxa"/>
            <w:vAlign w:val="center"/>
          </w:tcPr>
          <w:p w14:paraId="7CA712FC">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0.43%</w:t>
            </w:r>
          </w:p>
        </w:tc>
        <w:tc>
          <w:tcPr>
            <w:tcW w:w="2066" w:type="dxa"/>
            <w:vAlign w:val="center"/>
          </w:tcPr>
          <w:p w14:paraId="59AD8185">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0.52%</w:t>
            </w:r>
          </w:p>
        </w:tc>
      </w:tr>
      <w:tr w14:paraId="7BA2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74394E2C">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1000-5000</w:t>
            </w:r>
          </w:p>
        </w:tc>
        <w:tc>
          <w:tcPr>
            <w:tcW w:w="1833" w:type="dxa"/>
            <w:vAlign w:val="center"/>
          </w:tcPr>
          <w:p w14:paraId="221FD815">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0.45%</w:t>
            </w:r>
          </w:p>
        </w:tc>
        <w:tc>
          <w:tcPr>
            <w:tcW w:w="1767" w:type="dxa"/>
            <w:vAlign w:val="center"/>
          </w:tcPr>
          <w:p w14:paraId="180DCF64">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0.23%</w:t>
            </w:r>
          </w:p>
        </w:tc>
        <w:tc>
          <w:tcPr>
            <w:tcW w:w="2066" w:type="dxa"/>
            <w:vAlign w:val="center"/>
          </w:tcPr>
          <w:p w14:paraId="2DA599EB">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0.32%</w:t>
            </w:r>
          </w:p>
        </w:tc>
      </w:tr>
      <w:tr w14:paraId="2370D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10CC442B">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5000-10000</w:t>
            </w:r>
          </w:p>
        </w:tc>
        <w:tc>
          <w:tcPr>
            <w:tcW w:w="1833" w:type="dxa"/>
            <w:vAlign w:val="center"/>
          </w:tcPr>
          <w:p w14:paraId="6626B32C">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0.23%</w:t>
            </w:r>
          </w:p>
        </w:tc>
        <w:tc>
          <w:tcPr>
            <w:tcW w:w="1767" w:type="dxa"/>
            <w:vAlign w:val="center"/>
          </w:tcPr>
          <w:p w14:paraId="3CCF4FA4">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0.09%</w:t>
            </w:r>
          </w:p>
        </w:tc>
        <w:tc>
          <w:tcPr>
            <w:tcW w:w="2066" w:type="dxa"/>
            <w:vAlign w:val="center"/>
          </w:tcPr>
          <w:p w14:paraId="58545BA3">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0.18%</w:t>
            </w:r>
          </w:p>
        </w:tc>
      </w:tr>
      <w:tr w14:paraId="29B0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51A70BA1">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10000-100000</w:t>
            </w:r>
          </w:p>
        </w:tc>
        <w:tc>
          <w:tcPr>
            <w:tcW w:w="1833" w:type="dxa"/>
            <w:vAlign w:val="center"/>
          </w:tcPr>
          <w:p w14:paraId="3DA4209A">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c>
          <w:tcPr>
            <w:tcW w:w="1767" w:type="dxa"/>
            <w:vAlign w:val="center"/>
          </w:tcPr>
          <w:p w14:paraId="7FA116A7">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c>
          <w:tcPr>
            <w:tcW w:w="2066" w:type="dxa"/>
            <w:vAlign w:val="center"/>
          </w:tcPr>
          <w:p w14:paraId="2EC7A1AF">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0.045%</w:t>
            </w:r>
          </w:p>
        </w:tc>
      </w:tr>
      <w:tr w14:paraId="6883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112" w:type="dxa"/>
            <w:vAlign w:val="center"/>
          </w:tcPr>
          <w:p w14:paraId="01B68310">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1000000以上</w:t>
            </w:r>
          </w:p>
        </w:tc>
        <w:tc>
          <w:tcPr>
            <w:tcW w:w="1833" w:type="dxa"/>
            <w:vAlign w:val="center"/>
          </w:tcPr>
          <w:p w14:paraId="7611189D">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c>
          <w:tcPr>
            <w:tcW w:w="1767" w:type="dxa"/>
            <w:vAlign w:val="center"/>
          </w:tcPr>
          <w:p w14:paraId="3DB9F5D0">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c>
          <w:tcPr>
            <w:tcW w:w="2066" w:type="dxa"/>
            <w:vAlign w:val="center"/>
          </w:tcPr>
          <w:p w14:paraId="026ECD21">
            <w:pPr>
              <w:spacing w:line="520" w:lineRule="exact"/>
              <w:ind w:firstLine="570"/>
              <w:jc w:val="lef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0.009%</w:t>
            </w:r>
          </w:p>
        </w:tc>
      </w:tr>
    </w:tbl>
    <w:p w14:paraId="08499C47">
      <w:pPr>
        <w:pStyle w:val="14"/>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2.最低收费：当“按标准下浮率收费”计算出的采购代理费低于“最低收费”人民币叁仟元整时，采购代理费按“最低收费”人民币叁仟元整计取。</w:t>
      </w:r>
      <w:r>
        <w:rPr>
          <w:rFonts w:hint="default" w:ascii="微软雅黑" w:hAnsi="微软雅黑" w:eastAsia="微软雅黑" w:cs="微软雅黑"/>
          <w:color w:val="auto"/>
          <w:highlight w:val="none"/>
          <w:lang w:val="en-US"/>
        </w:rPr>
        <w:t>收入类采购以及不收不支类采购适用本条款。</w:t>
      </w:r>
    </w:p>
    <w:p w14:paraId="4D3986D4">
      <w:pPr>
        <w:pStyle w:val="14"/>
        <w:ind w:firstLine="480" w:firstLineChars="200"/>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3.浮动收费：若发生国家政策调整等不可抗力因素，代理服务费可进行适当调整，具体金额与采购代理机构协商确定。</w:t>
      </w:r>
    </w:p>
    <w:p w14:paraId="2F4C272A">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代理服务费包含了采购人委托的招标、采购前期工作、咨询费、采购项目依法依规在相关指定媒体（含报纸）发布招标（采购）公告的刊登费用、专家抽取费用（招标采购代理机构需自行承担专家抽取费用）、开评标场地使用费、评标（评审）费（包括但不限于评审费、因招标失败多次产生的评审费、进口产品论证、配置技术论证、采购文件论证等费用、因采购人直接申请非招标采购方式须邀请专家对项目作相关评审证明意见所需费用、因招标失败需邀请专家对招标文件评审是否具有不合理条款的论证意见所需费用、评标（评审）期间评标委员会成员的误餐费、交通费、住宿费等需要抽取或邀请专家参与的费用）、处理质疑投诉费、资料费其他等，为完成招标采购全流程以及资料的送审、移交、储存、管理过程中发生的所有费用。因成交采购代理机构自身原因造成漏报、少报皆由其自行承担责任，报价不可更改。</w:t>
      </w:r>
    </w:p>
    <w:p w14:paraId="47B40D00">
      <w:pPr>
        <w:spacing w:line="520" w:lineRule="exact"/>
        <w:ind w:firstLine="570"/>
        <w:jc w:val="lef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采购人不向采购代理机构支付任何费用（代垫费用除外）。在每个代理项目的采购文件中，供应商的报价中应涵盖代理服务费，采购代理机构必须在相应的采购文件中明确注明代理服务费。多次招标后产生中标人，采购代理机构只能收取一次采购代理服务费。若通过重庆市政府采购云平台采购，平台费用由医院承担。</w:t>
      </w:r>
    </w:p>
    <w:p w14:paraId="28C1119C">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2" w:name="_Toc17937"/>
      <w:bookmarkStart w:id="33" w:name="_Toc16361"/>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sz w:val="28"/>
          <w:szCs w:val="28"/>
          <w:highlight w:val="none"/>
        </w:rPr>
        <w:t>四、委派方式</w:t>
      </w:r>
      <w:bookmarkEnd w:id="32"/>
      <w:bookmarkEnd w:id="33"/>
    </w:p>
    <w:p w14:paraId="738BF743">
      <w:pPr>
        <w:autoSpaceDE w:val="0"/>
        <w:autoSpaceDN w:val="0"/>
        <w:adjustRightInd w:val="0"/>
        <w:snapToGrid w:val="0"/>
        <w:spacing w:line="520" w:lineRule="exact"/>
        <w:ind w:firstLine="480" w:firstLineChars="200"/>
        <w:rPr>
          <w:rFonts w:hint="eastAsia" w:ascii="微软雅黑" w:hAnsi="微软雅黑" w:eastAsia="微软雅黑" w:cs="微软雅黑"/>
          <w:color w:val="0000FF"/>
          <w:sz w:val="24"/>
          <w:szCs w:val="24"/>
          <w:highlight w:val="none"/>
          <w:lang w:eastAsia="zh-CN"/>
        </w:rPr>
      </w:pPr>
      <w:r>
        <w:rPr>
          <w:rFonts w:hint="eastAsia" w:ascii="微软雅黑" w:hAnsi="微软雅黑" w:eastAsia="微软雅黑" w:cs="微软雅黑"/>
          <w:color w:val="auto"/>
          <w:sz w:val="24"/>
          <w:szCs w:val="24"/>
          <w:highlight w:val="none"/>
        </w:rPr>
        <w:t>采购人根据《重庆市财政局关于印发《重庆市政府集中采购目录及采购限额标准》的通知》渝财规〔2023〕10号（后期若有新规定，按最新规定执行），</w:t>
      </w:r>
      <w:bookmarkStart w:id="34" w:name="_Toc485989042"/>
      <w:r>
        <w:rPr>
          <w:rFonts w:hint="eastAsia" w:ascii="微软雅黑" w:hAnsi="微软雅黑" w:eastAsia="微软雅黑" w:cs="微软雅黑"/>
          <w:color w:val="auto"/>
          <w:sz w:val="24"/>
          <w:szCs w:val="24"/>
          <w:highlight w:val="none"/>
        </w:rPr>
        <w:t>按服务周期</w:t>
      </w:r>
      <w:r>
        <w:rPr>
          <w:rFonts w:hint="eastAsia" w:ascii="微软雅黑" w:hAnsi="微软雅黑" w:eastAsia="微软雅黑" w:cs="微软雅黑"/>
          <w:color w:val="auto"/>
          <w:sz w:val="24"/>
          <w:szCs w:val="24"/>
          <w:highlight w:val="none"/>
          <w:lang w:eastAsia="zh-CN"/>
        </w:rPr>
        <w:t>（自合同签订之日起</w:t>
      </w:r>
      <w:r>
        <w:rPr>
          <w:rFonts w:hint="eastAsia" w:ascii="微软雅黑" w:hAnsi="微软雅黑" w:eastAsia="微软雅黑" w:cs="微软雅黑"/>
          <w:color w:val="auto"/>
          <w:sz w:val="24"/>
          <w:szCs w:val="24"/>
          <w:highlight w:val="none"/>
          <w:lang w:val="en-US" w:eastAsia="zh-CN"/>
        </w:rPr>
        <w:t>一年</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与成交采购代理机构签订委托协议</w:t>
      </w:r>
      <w:r>
        <w:rPr>
          <w:rFonts w:hint="eastAsia" w:ascii="微软雅黑" w:hAnsi="微软雅黑" w:eastAsia="微软雅黑" w:cs="微软雅黑"/>
          <w:color w:val="auto"/>
          <w:sz w:val="24"/>
          <w:szCs w:val="24"/>
          <w:highlight w:val="none"/>
          <w:lang w:eastAsia="zh-CN"/>
        </w:rPr>
        <w:t>。</w:t>
      </w:r>
    </w:p>
    <w:p w14:paraId="733A5B29">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5" w:name="_Toc5847"/>
      <w:bookmarkStart w:id="36" w:name="_Toc9288"/>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sz w:val="28"/>
          <w:szCs w:val="28"/>
          <w:highlight w:val="none"/>
        </w:rPr>
        <w:t>五、</w:t>
      </w:r>
      <w:bookmarkStart w:id="37" w:name="_Toc117174820"/>
      <w:r>
        <w:rPr>
          <w:rFonts w:hint="eastAsia" w:ascii="微软雅黑" w:hAnsi="微软雅黑" w:eastAsia="微软雅黑" w:cs="微软雅黑"/>
          <w:color w:val="auto"/>
          <w:sz w:val="28"/>
          <w:szCs w:val="28"/>
          <w:highlight w:val="none"/>
        </w:rPr>
        <w:t>考核管理</w:t>
      </w:r>
      <w:bookmarkEnd w:id="35"/>
      <w:bookmarkEnd w:id="36"/>
      <w:bookmarkEnd w:id="37"/>
    </w:p>
    <w:p w14:paraId="29CB085E">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（一）采购人将制定相应的考核办法，考核频率为按项目对招标采购代理机构进行考核评估。服务期内，采购人有权对考核办法、考核频次进行调整。</w:t>
      </w:r>
    </w:p>
    <w:p w14:paraId="60910966">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（二）有下列情况之一的，经调查核实后采购人有权解除合同，并保留向行政主管部门投诉的权利：</w:t>
      </w:r>
    </w:p>
    <w:p w14:paraId="378291ED">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1.在相关部门查询系统中存在不良记录的；</w:t>
      </w:r>
    </w:p>
    <w:p w14:paraId="5EAA989C">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2.拒绝承担委托人的代理业务，或者擅自将受托项目转委托给第三方承担，或者未经采购人同意，擅自变更项目组成员的；</w:t>
      </w:r>
    </w:p>
    <w:p w14:paraId="4FE0CA31">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3.三次</w:t>
      </w:r>
      <w:r>
        <w:rPr>
          <w:rFonts w:hint="default" w:ascii="微软雅黑" w:hAnsi="微软雅黑" w:eastAsia="微软雅黑" w:cs="微软雅黑"/>
          <w:color w:val="auto"/>
          <w:sz w:val="24"/>
          <w:szCs w:val="24"/>
          <w:highlight w:val="none"/>
          <w:lang w:val="en-US"/>
        </w:rPr>
        <w:t>考核</w:t>
      </w:r>
      <w:r>
        <w:rPr>
          <w:rFonts w:hint="eastAsia" w:ascii="微软雅黑" w:hAnsi="微软雅黑" w:eastAsia="微软雅黑" w:cs="微软雅黑"/>
          <w:color w:val="auto"/>
          <w:sz w:val="24"/>
          <w:szCs w:val="24"/>
          <w:highlight w:val="none"/>
        </w:rPr>
        <w:t>评分为基本合格或一次为不合格的采购代理机构，采购人有权提交院办公会通过后终止其代理协议；</w:t>
      </w:r>
    </w:p>
    <w:p w14:paraId="73270D12">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4.在履约期内因故放弃代理服务累计达两次的；</w:t>
      </w:r>
    </w:p>
    <w:p w14:paraId="492432EA">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5.向他人透露开标评审（评标）信息的行为，导致医院受到质疑、投诉或处罚的；</w:t>
      </w:r>
    </w:p>
    <w:p w14:paraId="32ABDAD0">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6.违反法律法规和医院规定的招标工作程序、纪律要求的；</w:t>
      </w:r>
    </w:p>
    <w:p w14:paraId="5E7A9A1D">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7.其他不按合同履行职责，违反政策规定，造成采购人利益损失的。</w:t>
      </w:r>
    </w:p>
    <w:p w14:paraId="21975401">
      <w:pPr>
        <w:pStyle w:val="20"/>
        <w:jc w:val="center"/>
        <w:rPr>
          <w:rFonts w:hint="eastAsia" w:ascii="宋体" w:hAnsi="宋体" w:cs="宋体"/>
          <w:color w:val="auto"/>
          <w:sz w:val="24"/>
          <w:szCs w:val="24"/>
          <w:highlight w:val="none"/>
        </w:rPr>
      </w:pPr>
    </w:p>
    <w:p w14:paraId="3B39CCFF">
      <w:pPr>
        <w:pStyle w:val="2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采购代理机构服务质量项目考核表（按采购项目为单位考核）</w:t>
      </w:r>
    </w:p>
    <w:p w14:paraId="78E65E58">
      <w:pPr>
        <w:rPr>
          <w:color w:val="auto"/>
          <w:sz w:val="24"/>
          <w:szCs w:val="24"/>
          <w:highlight w:val="none"/>
        </w:rPr>
      </w:pPr>
    </w:p>
    <w:tbl>
      <w:tblPr>
        <w:tblStyle w:val="16"/>
        <w:tblW w:w="9566"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981"/>
        <w:gridCol w:w="891"/>
        <w:gridCol w:w="1394"/>
        <w:gridCol w:w="306"/>
        <w:gridCol w:w="2393"/>
        <w:gridCol w:w="1468"/>
        <w:gridCol w:w="1424"/>
      </w:tblGrid>
      <w:tr w14:paraId="7A2B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tcPr>
          <w:p w14:paraId="2514E5AE">
            <w:pPr>
              <w:widowControl/>
              <w:jc w:val="left"/>
              <w:rPr>
                <w:rFonts w:hint="eastAsia" w:ascii="宋体" w:hAnsi="宋体" w:cs="宋体"/>
                <w:b/>
                <w:bCs/>
                <w:color w:val="auto"/>
                <w:kern w:val="0"/>
                <w:sz w:val="24"/>
                <w:szCs w:val="24"/>
                <w:highlight w:val="none"/>
              </w:rPr>
            </w:pPr>
            <w:r>
              <w:rPr>
                <w:rFonts w:hint="default" w:ascii="宋体" w:hAnsi="宋体" w:cs="宋体"/>
                <w:b/>
                <w:bCs/>
                <w:color w:val="auto"/>
                <w:kern w:val="0"/>
                <w:sz w:val="24"/>
                <w:szCs w:val="24"/>
                <w:highlight w:val="none"/>
                <w:lang w:val="en-US"/>
              </w:rPr>
              <w:t>采购</w:t>
            </w:r>
            <w:r>
              <w:rPr>
                <w:rFonts w:hint="eastAsia" w:ascii="宋体" w:hAnsi="宋体" w:cs="宋体"/>
                <w:b/>
                <w:bCs/>
                <w:color w:val="auto"/>
                <w:kern w:val="0"/>
                <w:sz w:val="24"/>
                <w:szCs w:val="24"/>
                <w:highlight w:val="none"/>
              </w:rPr>
              <w:t xml:space="preserve">项目名称 </w:t>
            </w:r>
          </w:p>
        </w:tc>
        <w:tc>
          <w:tcPr>
            <w:tcW w:w="6985" w:type="dxa"/>
            <w:gridSpan w:val="5"/>
          </w:tcPr>
          <w:p w14:paraId="7F273A2F">
            <w:pPr>
              <w:pStyle w:val="20"/>
              <w:rPr>
                <w:rFonts w:hint="eastAsia" w:ascii="宋体" w:hAnsi="宋体" w:cs="宋体"/>
                <w:color w:val="auto"/>
                <w:kern w:val="2"/>
                <w:sz w:val="24"/>
                <w:szCs w:val="24"/>
                <w:highlight w:val="none"/>
              </w:rPr>
            </w:pPr>
          </w:p>
        </w:tc>
      </w:tr>
      <w:tr w14:paraId="7F3A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tcPr>
          <w:p w14:paraId="3ADAD13D">
            <w:pPr>
              <w:pStyle w:val="20"/>
              <w:ind w:left="0"/>
              <w:rPr>
                <w:rFonts w:hint="eastAsia" w:ascii="宋体" w:hAnsi="宋体" w:eastAsia="宋体" w:cs="宋体"/>
                <w:b/>
                <w:bCs/>
                <w:color w:val="auto"/>
                <w:kern w:val="2"/>
                <w:sz w:val="24"/>
                <w:szCs w:val="24"/>
                <w:highlight w:val="none"/>
                <w:lang w:val="en-US" w:eastAsia="zh-CN"/>
              </w:rPr>
            </w:pPr>
            <w:r>
              <w:rPr>
                <w:rFonts w:hint="eastAsia" w:ascii="宋体" w:hAnsi="宋体" w:cs="宋体"/>
                <w:b/>
                <w:bCs/>
                <w:color w:val="auto"/>
                <w:kern w:val="2"/>
                <w:sz w:val="24"/>
                <w:szCs w:val="24"/>
                <w:highlight w:val="none"/>
              </w:rPr>
              <w:t>采购代理机构</w:t>
            </w:r>
            <w:r>
              <w:rPr>
                <w:rFonts w:hint="eastAsia" w:ascii="宋体" w:hAnsi="宋体" w:cs="宋体"/>
                <w:b/>
                <w:bCs/>
                <w:color w:val="auto"/>
                <w:kern w:val="2"/>
                <w:sz w:val="24"/>
                <w:szCs w:val="24"/>
                <w:highlight w:val="none"/>
                <w:lang w:val="en-US" w:eastAsia="zh-CN"/>
              </w:rPr>
              <w:t>简称</w:t>
            </w:r>
          </w:p>
        </w:tc>
        <w:tc>
          <w:tcPr>
            <w:tcW w:w="6985" w:type="dxa"/>
            <w:gridSpan w:val="5"/>
          </w:tcPr>
          <w:p w14:paraId="7C53D236">
            <w:pPr>
              <w:pStyle w:val="20"/>
              <w:rPr>
                <w:rFonts w:hint="eastAsia" w:ascii="宋体" w:hAnsi="宋体" w:cs="宋体"/>
                <w:color w:val="auto"/>
                <w:kern w:val="2"/>
                <w:sz w:val="24"/>
                <w:szCs w:val="24"/>
                <w:highlight w:val="none"/>
              </w:rPr>
            </w:pPr>
          </w:p>
        </w:tc>
      </w:tr>
      <w:tr w14:paraId="5BFB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restart"/>
          </w:tcPr>
          <w:p w14:paraId="12BED68A">
            <w:pPr>
              <w:widowControl/>
              <w:jc w:val="left"/>
              <w:rPr>
                <w:rFonts w:hint="eastAsia" w:ascii="宋体" w:hAnsi="宋体" w:cs="宋体"/>
                <w:color w:val="auto"/>
                <w:sz w:val="24"/>
                <w:szCs w:val="24"/>
                <w:highlight w:val="none"/>
              </w:rPr>
            </w:pPr>
            <w:r>
              <w:rPr>
                <w:rFonts w:hint="default" w:ascii="宋体" w:hAnsi="宋体" w:cs="宋体"/>
                <w:b/>
                <w:bCs/>
                <w:color w:val="auto"/>
                <w:kern w:val="0"/>
                <w:sz w:val="24"/>
                <w:szCs w:val="24"/>
                <w:highlight w:val="none"/>
                <w:lang w:val="en-US"/>
              </w:rPr>
              <w:t>采购项目</w:t>
            </w:r>
            <w:r>
              <w:rPr>
                <w:rFonts w:hint="eastAsia" w:ascii="宋体" w:hAnsi="宋体" w:cs="宋体"/>
                <w:b/>
                <w:bCs/>
                <w:color w:val="auto"/>
                <w:kern w:val="0"/>
                <w:sz w:val="24"/>
                <w:szCs w:val="24"/>
                <w:highlight w:val="none"/>
              </w:rPr>
              <w:t>基本信息</w:t>
            </w:r>
          </w:p>
        </w:tc>
        <w:tc>
          <w:tcPr>
            <w:tcW w:w="1700" w:type="dxa"/>
            <w:gridSpan w:val="2"/>
          </w:tcPr>
          <w:p w14:paraId="5E9F9165">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rPr>
              <w:t xml:space="preserve">公告媒体 </w:t>
            </w:r>
          </w:p>
        </w:tc>
        <w:tc>
          <w:tcPr>
            <w:tcW w:w="5285" w:type="dxa"/>
            <w:gridSpan w:val="3"/>
          </w:tcPr>
          <w:p w14:paraId="5D0F12D5">
            <w:pPr>
              <w:pStyle w:val="20"/>
              <w:rPr>
                <w:rFonts w:hint="eastAsia" w:ascii="宋体" w:hAnsi="宋体" w:cs="宋体"/>
                <w:color w:val="auto"/>
                <w:kern w:val="2"/>
                <w:sz w:val="24"/>
                <w:szCs w:val="24"/>
                <w:highlight w:val="none"/>
              </w:rPr>
            </w:pPr>
          </w:p>
        </w:tc>
      </w:tr>
      <w:tr w14:paraId="0EBA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81" w:type="dxa"/>
            <w:gridSpan w:val="3"/>
            <w:vMerge w:val="continue"/>
          </w:tcPr>
          <w:p w14:paraId="6AAA24B3">
            <w:pPr>
              <w:pStyle w:val="20"/>
              <w:ind w:left="0"/>
              <w:rPr>
                <w:rFonts w:hint="eastAsia" w:ascii="宋体" w:hAnsi="宋体" w:cs="宋体"/>
                <w:color w:val="auto"/>
                <w:kern w:val="2"/>
                <w:sz w:val="24"/>
                <w:szCs w:val="24"/>
                <w:highlight w:val="none"/>
              </w:rPr>
            </w:pPr>
          </w:p>
        </w:tc>
        <w:tc>
          <w:tcPr>
            <w:tcW w:w="1700" w:type="dxa"/>
            <w:gridSpan w:val="2"/>
          </w:tcPr>
          <w:p w14:paraId="33164E6C">
            <w:pPr>
              <w:pStyle w:val="20"/>
              <w:ind w:left="0"/>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开评标时间</w:t>
            </w:r>
          </w:p>
        </w:tc>
        <w:tc>
          <w:tcPr>
            <w:tcW w:w="5285" w:type="dxa"/>
            <w:gridSpan w:val="3"/>
          </w:tcPr>
          <w:p w14:paraId="5B7E1748">
            <w:pPr>
              <w:pStyle w:val="20"/>
              <w:rPr>
                <w:rFonts w:hint="eastAsia" w:ascii="宋体" w:hAnsi="宋体" w:cs="宋体"/>
                <w:color w:val="auto"/>
                <w:kern w:val="2"/>
                <w:sz w:val="24"/>
                <w:szCs w:val="24"/>
                <w:highlight w:val="none"/>
              </w:rPr>
            </w:pPr>
          </w:p>
        </w:tc>
      </w:tr>
      <w:tr w14:paraId="4F82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81" w:type="dxa"/>
            <w:gridSpan w:val="3"/>
            <w:vMerge w:val="continue"/>
          </w:tcPr>
          <w:p w14:paraId="2574C8F6">
            <w:pPr>
              <w:widowControl/>
              <w:jc w:val="left"/>
              <w:rPr>
                <w:rFonts w:hint="eastAsia" w:ascii="宋体" w:hAnsi="宋体" w:cs="宋体"/>
                <w:color w:val="auto"/>
                <w:sz w:val="24"/>
                <w:szCs w:val="24"/>
                <w:highlight w:val="none"/>
              </w:rPr>
            </w:pPr>
          </w:p>
        </w:tc>
        <w:tc>
          <w:tcPr>
            <w:tcW w:w="1700" w:type="dxa"/>
            <w:gridSpan w:val="2"/>
          </w:tcPr>
          <w:p w14:paraId="7BB71681">
            <w:pPr>
              <w:widowControl/>
              <w:jc w:val="left"/>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开评标地点</w:t>
            </w:r>
          </w:p>
        </w:tc>
        <w:tc>
          <w:tcPr>
            <w:tcW w:w="5285" w:type="dxa"/>
            <w:gridSpan w:val="3"/>
          </w:tcPr>
          <w:p w14:paraId="6B9BCD58">
            <w:pPr>
              <w:pStyle w:val="20"/>
              <w:rPr>
                <w:rFonts w:hint="eastAsia" w:ascii="宋体" w:hAnsi="宋体" w:cs="宋体"/>
                <w:color w:val="auto"/>
                <w:kern w:val="2"/>
                <w:sz w:val="24"/>
                <w:szCs w:val="24"/>
                <w:highlight w:val="none"/>
              </w:rPr>
            </w:pPr>
          </w:p>
        </w:tc>
      </w:tr>
      <w:tr w14:paraId="051B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1BDD8AC9">
            <w:pPr>
              <w:pStyle w:val="20"/>
              <w:ind w:left="0"/>
              <w:rPr>
                <w:rFonts w:hint="eastAsia" w:ascii="宋体" w:hAnsi="宋体" w:cs="宋体"/>
                <w:color w:val="auto"/>
                <w:kern w:val="2"/>
                <w:sz w:val="24"/>
                <w:szCs w:val="24"/>
                <w:highlight w:val="none"/>
              </w:rPr>
            </w:pPr>
            <w:r>
              <w:rPr>
                <w:rFonts w:hint="eastAsia" w:ascii="宋体" w:hAnsi="宋体" w:cs="宋体"/>
                <w:b/>
                <w:bCs/>
                <w:color w:val="auto"/>
                <w:kern w:val="2"/>
                <w:sz w:val="24"/>
                <w:szCs w:val="24"/>
                <w:highlight w:val="none"/>
              </w:rPr>
              <w:t>序号</w:t>
            </w:r>
          </w:p>
        </w:tc>
        <w:tc>
          <w:tcPr>
            <w:tcW w:w="5965" w:type="dxa"/>
            <w:gridSpan w:val="5"/>
          </w:tcPr>
          <w:p w14:paraId="57ABEA4D">
            <w:pPr>
              <w:pStyle w:val="20"/>
              <w:ind w:left="0"/>
              <w:rPr>
                <w:rFonts w:hint="eastAsia" w:ascii="宋体" w:hAnsi="宋体" w:cs="宋体"/>
                <w:color w:val="auto"/>
                <w:kern w:val="2"/>
                <w:sz w:val="24"/>
                <w:szCs w:val="24"/>
                <w:highlight w:val="none"/>
              </w:rPr>
            </w:pPr>
            <w:r>
              <w:rPr>
                <w:rFonts w:hint="eastAsia" w:ascii="宋体" w:hAnsi="宋体" w:cs="宋体"/>
                <w:b/>
                <w:bCs/>
                <w:color w:val="auto"/>
                <w:kern w:val="2"/>
                <w:sz w:val="24"/>
                <w:szCs w:val="24"/>
                <w:highlight w:val="none"/>
              </w:rPr>
              <w:t>考核内容</w:t>
            </w:r>
          </w:p>
        </w:tc>
        <w:tc>
          <w:tcPr>
            <w:tcW w:w="1468" w:type="dxa"/>
          </w:tcPr>
          <w:p w14:paraId="53C9884C">
            <w:pPr>
              <w:widowControl/>
              <w:jc w:val="left"/>
              <w:rPr>
                <w:rFonts w:hint="eastAsia" w:ascii="宋体" w:hAnsi="宋体" w:cs="宋体"/>
                <w:color w:val="auto"/>
                <w:sz w:val="24"/>
                <w:szCs w:val="24"/>
                <w:highlight w:val="none"/>
              </w:rPr>
            </w:pPr>
            <w:r>
              <w:rPr>
                <w:rFonts w:hint="eastAsia" w:ascii="宋体" w:hAnsi="宋体" w:cs="宋体"/>
                <w:b/>
                <w:bCs/>
                <w:color w:val="auto"/>
                <w:kern w:val="0"/>
                <w:sz w:val="24"/>
                <w:szCs w:val="24"/>
                <w:highlight w:val="none"/>
              </w:rPr>
              <w:t>扣分标准</w:t>
            </w:r>
          </w:p>
        </w:tc>
        <w:tc>
          <w:tcPr>
            <w:tcW w:w="1424" w:type="dxa"/>
          </w:tcPr>
          <w:p w14:paraId="0BB8F488">
            <w:pPr>
              <w:widowControl/>
              <w:jc w:val="left"/>
              <w:rPr>
                <w:rFonts w:hint="eastAsia" w:ascii="宋体" w:hAnsi="宋体" w:eastAsia="宋体" w:cs="宋体"/>
                <w:color w:val="auto"/>
                <w:sz w:val="24"/>
                <w:szCs w:val="24"/>
                <w:highlight w:val="none"/>
                <w:lang w:val="en-US" w:eastAsia="zh-CN"/>
              </w:rPr>
            </w:pPr>
            <w:r>
              <w:rPr>
                <w:rFonts w:hint="eastAsia" w:ascii="宋体" w:hAnsi="宋体" w:cs="宋体"/>
                <w:b/>
                <w:bCs/>
                <w:color w:val="auto"/>
                <w:kern w:val="0"/>
                <w:sz w:val="24"/>
                <w:szCs w:val="24"/>
                <w:highlight w:val="none"/>
              </w:rPr>
              <w:t>扣分</w:t>
            </w:r>
            <w:r>
              <w:rPr>
                <w:rFonts w:hint="eastAsia" w:ascii="宋体" w:hAnsi="宋体" w:cs="宋体"/>
                <w:b/>
                <w:bCs/>
                <w:color w:val="auto"/>
                <w:kern w:val="0"/>
                <w:sz w:val="24"/>
                <w:szCs w:val="24"/>
                <w:highlight w:val="none"/>
                <w:lang w:val="en-US" w:eastAsia="zh-CN"/>
              </w:rPr>
              <w:t>及</w:t>
            </w:r>
            <w:r>
              <w:rPr>
                <w:rFonts w:hint="eastAsia" w:ascii="宋体" w:hAnsi="宋体" w:cs="宋体"/>
                <w:b/>
                <w:bCs/>
                <w:color w:val="auto"/>
                <w:kern w:val="0"/>
                <w:sz w:val="24"/>
                <w:szCs w:val="24"/>
                <w:highlight w:val="none"/>
              </w:rPr>
              <w:t>情况</w:t>
            </w:r>
            <w:r>
              <w:rPr>
                <w:rFonts w:hint="eastAsia" w:ascii="宋体" w:hAnsi="宋体" w:cs="宋体"/>
                <w:b/>
                <w:bCs/>
                <w:color w:val="auto"/>
                <w:kern w:val="0"/>
                <w:sz w:val="24"/>
                <w:szCs w:val="24"/>
                <w:highlight w:val="none"/>
                <w:lang w:val="en-US" w:eastAsia="zh-CN"/>
              </w:rPr>
              <w:t>简述</w:t>
            </w:r>
          </w:p>
        </w:tc>
      </w:tr>
      <w:tr w14:paraId="1056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0BB178A1">
            <w:pP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981" w:type="dxa"/>
            <w:vMerge w:val="restart"/>
            <w:vAlign w:val="center"/>
          </w:tcPr>
          <w:p w14:paraId="1852E266">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基本行为规范要求及职业道德情况</w:t>
            </w:r>
          </w:p>
        </w:tc>
        <w:tc>
          <w:tcPr>
            <w:tcW w:w="4984" w:type="dxa"/>
            <w:gridSpan w:val="4"/>
            <w:vAlign w:val="center"/>
          </w:tcPr>
          <w:p w14:paraId="01A00C84">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开评标地点干净整洁，工作人员着装整洁，语言文明礼貌，不迟到早退，服务态度积极主动</w:t>
            </w:r>
          </w:p>
        </w:tc>
        <w:tc>
          <w:tcPr>
            <w:tcW w:w="1468" w:type="dxa"/>
          </w:tcPr>
          <w:p w14:paraId="4C30A419">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发现一处不符扣5分</w:t>
            </w:r>
          </w:p>
        </w:tc>
        <w:tc>
          <w:tcPr>
            <w:tcW w:w="1424" w:type="dxa"/>
          </w:tcPr>
          <w:p w14:paraId="339C3C90">
            <w:pPr>
              <w:widowControl/>
              <w:jc w:val="left"/>
              <w:rPr>
                <w:rFonts w:hint="eastAsia" w:ascii="宋体" w:hAnsi="宋体" w:cs="宋体"/>
                <w:b/>
                <w:bCs/>
                <w:color w:val="auto"/>
                <w:kern w:val="0"/>
                <w:sz w:val="24"/>
                <w:szCs w:val="24"/>
                <w:highlight w:val="none"/>
              </w:rPr>
            </w:pPr>
          </w:p>
        </w:tc>
      </w:tr>
      <w:tr w14:paraId="51ED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709" w:type="dxa"/>
            <w:vMerge w:val="continue"/>
            <w:vAlign w:val="center"/>
          </w:tcPr>
          <w:p w14:paraId="682F4D02">
            <w:pPr>
              <w:rPr>
                <w:rFonts w:hint="eastAsia" w:ascii="宋体" w:hAnsi="宋体" w:cs="宋体"/>
                <w:color w:val="auto"/>
                <w:kern w:val="0"/>
                <w:sz w:val="24"/>
                <w:szCs w:val="24"/>
                <w:highlight w:val="none"/>
              </w:rPr>
            </w:pPr>
          </w:p>
        </w:tc>
        <w:tc>
          <w:tcPr>
            <w:tcW w:w="981" w:type="dxa"/>
            <w:vMerge w:val="continue"/>
            <w:vAlign w:val="center"/>
          </w:tcPr>
          <w:p w14:paraId="66D115AA">
            <w:pPr>
              <w:widowControl/>
              <w:rPr>
                <w:rFonts w:hint="eastAsia" w:ascii="宋体" w:hAnsi="宋体" w:cs="宋体"/>
                <w:color w:val="auto"/>
                <w:kern w:val="0"/>
                <w:sz w:val="24"/>
                <w:szCs w:val="24"/>
                <w:highlight w:val="none"/>
              </w:rPr>
            </w:pPr>
          </w:p>
        </w:tc>
        <w:tc>
          <w:tcPr>
            <w:tcW w:w="4984" w:type="dxa"/>
            <w:gridSpan w:val="4"/>
            <w:vAlign w:val="center"/>
          </w:tcPr>
          <w:p w14:paraId="3F8DA251">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及时完成采购人交办的任务，不随意拖延推脱。</w:t>
            </w:r>
          </w:p>
        </w:tc>
        <w:tc>
          <w:tcPr>
            <w:tcW w:w="1468" w:type="dxa"/>
          </w:tcPr>
          <w:p w14:paraId="50C029C2">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发现一次不符扣5分</w:t>
            </w:r>
          </w:p>
        </w:tc>
        <w:tc>
          <w:tcPr>
            <w:tcW w:w="1424" w:type="dxa"/>
          </w:tcPr>
          <w:p w14:paraId="014F2DAC">
            <w:pPr>
              <w:widowControl/>
              <w:jc w:val="left"/>
              <w:rPr>
                <w:rFonts w:hint="eastAsia" w:ascii="宋体" w:hAnsi="宋体" w:cs="宋体"/>
                <w:b/>
                <w:bCs/>
                <w:color w:val="auto"/>
                <w:kern w:val="0"/>
                <w:sz w:val="24"/>
                <w:szCs w:val="24"/>
                <w:highlight w:val="none"/>
              </w:rPr>
            </w:pPr>
          </w:p>
        </w:tc>
      </w:tr>
      <w:tr w14:paraId="5531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9" w:type="dxa"/>
            <w:vMerge w:val="continue"/>
            <w:vAlign w:val="center"/>
          </w:tcPr>
          <w:p w14:paraId="673860D7">
            <w:pPr>
              <w:rPr>
                <w:rFonts w:hint="eastAsia" w:ascii="宋体" w:hAnsi="宋体" w:cs="宋体"/>
                <w:color w:val="auto"/>
                <w:kern w:val="0"/>
                <w:sz w:val="24"/>
                <w:szCs w:val="24"/>
                <w:highlight w:val="none"/>
              </w:rPr>
            </w:pPr>
          </w:p>
        </w:tc>
        <w:tc>
          <w:tcPr>
            <w:tcW w:w="981" w:type="dxa"/>
            <w:vMerge w:val="continue"/>
            <w:vAlign w:val="center"/>
          </w:tcPr>
          <w:p w14:paraId="4EEB675C">
            <w:pPr>
              <w:widowControl/>
              <w:rPr>
                <w:rFonts w:hint="eastAsia" w:ascii="宋体" w:hAnsi="宋体" w:cs="宋体"/>
                <w:color w:val="auto"/>
                <w:kern w:val="0"/>
                <w:sz w:val="24"/>
                <w:szCs w:val="24"/>
                <w:highlight w:val="none"/>
              </w:rPr>
            </w:pPr>
          </w:p>
        </w:tc>
        <w:tc>
          <w:tcPr>
            <w:tcW w:w="4984" w:type="dxa"/>
            <w:gridSpan w:val="4"/>
            <w:vAlign w:val="center"/>
          </w:tcPr>
          <w:p w14:paraId="1F5B72AA">
            <w:pPr>
              <w:widowControl/>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招标工作人员不遵守纪律规范要求，有影响评审（评标）委员会成员职业道德的行为</w:t>
            </w:r>
          </w:p>
        </w:tc>
        <w:tc>
          <w:tcPr>
            <w:tcW w:w="1468" w:type="dxa"/>
          </w:tcPr>
          <w:p w14:paraId="21DD4A9A">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发现一次扣</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tc>
        <w:tc>
          <w:tcPr>
            <w:tcW w:w="1424" w:type="dxa"/>
          </w:tcPr>
          <w:p w14:paraId="1853C2EC">
            <w:pPr>
              <w:widowControl/>
              <w:jc w:val="left"/>
              <w:rPr>
                <w:rFonts w:hint="eastAsia" w:ascii="宋体" w:hAnsi="宋体" w:cs="宋体"/>
                <w:b/>
                <w:bCs/>
                <w:color w:val="auto"/>
                <w:kern w:val="0"/>
                <w:sz w:val="24"/>
                <w:szCs w:val="24"/>
                <w:highlight w:val="none"/>
              </w:rPr>
            </w:pPr>
          </w:p>
        </w:tc>
      </w:tr>
      <w:tr w14:paraId="158D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2028F566">
            <w:pPr>
              <w:rPr>
                <w:rFonts w:hint="eastAsia" w:ascii="宋体" w:hAnsi="宋体" w:cs="宋体"/>
                <w:color w:val="auto"/>
                <w:kern w:val="0"/>
                <w:sz w:val="24"/>
                <w:szCs w:val="24"/>
                <w:highlight w:val="none"/>
              </w:rPr>
            </w:pPr>
          </w:p>
        </w:tc>
        <w:tc>
          <w:tcPr>
            <w:tcW w:w="981" w:type="dxa"/>
            <w:vMerge w:val="continue"/>
            <w:vAlign w:val="center"/>
          </w:tcPr>
          <w:p w14:paraId="521FB9D4">
            <w:pPr>
              <w:widowControl/>
              <w:rPr>
                <w:rFonts w:hint="eastAsia" w:ascii="宋体" w:hAnsi="宋体" w:cs="宋体"/>
                <w:color w:val="auto"/>
                <w:kern w:val="0"/>
                <w:sz w:val="24"/>
                <w:szCs w:val="24"/>
                <w:highlight w:val="none"/>
              </w:rPr>
            </w:pPr>
          </w:p>
        </w:tc>
        <w:tc>
          <w:tcPr>
            <w:tcW w:w="4984" w:type="dxa"/>
            <w:gridSpan w:val="4"/>
            <w:vAlign w:val="center"/>
          </w:tcPr>
          <w:p w14:paraId="3A6396A3">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全力维护采购人的合法权益</w:t>
            </w:r>
          </w:p>
        </w:tc>
        <w:tc>
          <w:tcPr>
            <w:tcW w:w="1468" w:type="dxa"/>
          </w:tcPr>
          <w:p w14:paraId="522F21BD">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发现一次扣10分</w:t>
            </w:r>
          </w:p>
        </w:tc>
        <w:tc>
          <w:tcPr>
            <w:tcW w:w="1424" w:type="dxa"/>
          </w:tcPr>
          <w:p w14:paraId="033BC26D">
            <w:pPr>
              <w:widowControl/>
              <w:jc w:val="left"/>
              <w:rPr>
                <w:rFonts w:hint="eastAsia" w:ascii="宋体" w:hAnsi="宋体" w:cs="宋体"/>
                <w:b/>
                <w:bCs/>
                <w:color w:val="auto"/>
                <w:kern w:val="0"/>
                <w:sz w:val="24"/>
                <w:szCs w:val="24"/>
                <w:highlight w:val="none"/>
              </w:rPr>
            </w:pPr>
          </w:p>
        </w:tc>
      </w:tr>
      <w:tr w14:paraId="3846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3E838F0E">
            <w:pP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981" w:type="dxa"/>
            <w:vMerge w:val="restart"/>
            <w:vAlign w:val="center"/>
          </w:tcPr>
          <w:p w14:paraId="49DCEA72">
            <w:pPr>
              <w:widowControl/>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文件编制情况</w:t>
            </w:r>
          </w:p>
        </w:tc>
        <w:tc>
          <w:tcPr>
            <w:tcW w:w="4984" w:type="dxa"/>
            <w:gridSpan w:val="4"/>
            <w:vAlign w:val="center"/>
          </w:tcPr>
          <w:p w14:paraId="452931D4">
            <w:pPr>
              <w:widowControl/>
              <w:rPr>
                <w:rFonts w:hint="default" w:ascii="宋体" w:hAnsi="宋体" w:eastAsia="宋体" w:cs="宋体"/>
                <w:b/>
                <w:bCs/>
                <w:color w:val="auto"/>
                <w:kern w:val="0"/>
                <w:sz w:val="24"/>
                <w:szCs w:val="24"/>
                <w:highlight w:val="none"/>
                <w:lang w:val="en-US" w:eastAsia="zh-CN"/>
              </w:rPr>
            </w:pPr>
            <w:r>
              <w:rPr>
                <w:rFonts w:hint="eastAsia" w:ascii="宋体" w:hAnsi="宋体" w:cs="宋体"/>
                <w:color w:val="auto"/>
                <w:kern w:val="0"/>
                <w:sz w:val="24"/>
                <w:szCs w:val="24"/>
                <w:highlight w:val="none"/>
              </w:rPr>
              <w:t>文件编制使用最新范本</w:t>
            </w:r>
            <w:r>
              <w:rPr>
                <w:rFonts w:hint="eastAsia" w:ascii="宋体" w:hAnsi="宋体" w:cs="宋体"/>
                <w:color w:val="auto"/>
                <w:kern w:val="0"/>
                <w:sz w:val="24"/>
                <w:szCs w:val="24"/>
                <w:highlight w:val="none"/>
                <w:lang w:val="en-US" w:eastAsia="zh-CN"/>
              </w:rPr>
              <w:t>及最新条款</w:t>
            </w:r>
          </w:p>
        </w:tc>
        <w:tc>
          <w:tcPr>
            <w:tcW w:w="1468" w:type="dxa"/>
          </w:tcPr>
          <w:p w14:paraId="7CAAEB6B">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发现一次不符扣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5DDF772E">
            <w:pPr>
              <w:widowControl/>
              <w:jc w:val="left"/>
              <w:rPr>
                <w:rFonts w:hint="eastAsia" w:ascii="宋体" w:hAnsi="宋体" w:cs="宋体"/>
                <w:b/>
                <w:bCs/>
                <w:color w:val="auto"/>
                <w:kern w:val="0"/>
                <w:sz w:val="24"/>
                <w:szCs w:val="24"/>
                <w:highlight w:val="none"/>
              </w:rPr>
            </w:pPr>
          </w:p>
        </w:tc>
      </w:tr>
      <w:tr w14:paraId="6437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406B6E94">
            <w:pPr>
              <w:rPr>
                <w:rFonts w:hint="eastAsia" w:ascii="宋体" w:hAnsi="宋体" w:cs="宋体"/>
                <w:color w:val="auto"/>
                <w:sz w:val="24"/>
                <w:szCs w:val="24"/>
                <w:highlight w:val="none"/>
              </w:rPr>
            </w:pPr>
          </w:p>
        </w:tc>
        <w:tc>
          <w:tcPr>
            <w:tcW w:w="981" w:type="dxa"/>
            <w:vMerge w:val="continue"/>
            <w:vAlign w:val="center"/>
          </w:tcPr>
          <w:p w14:paraId="15EA1DAC">
            <w:pPr>
              <w:pStyle w:val="20"/>
              <w:ind w:left="0"/>
              <w:rPr>
                <w:rFonts w:hint="eastAsia" w:ascii="宋体" w:hAnsi="宋体" w:cs="宋体"/>
                <w:b/>
                <w:bCs/>
                <w:color w:val="auto"/>
                <w:kern w:val="2"/>
                <w:sz w:val="24"/>
                <w:szCs w:val="24"/>
                <w:highlight w:val="none"/>
              </w:rPr>
            </w:pPr>
          </w:p>
        </w:tc>
        <w:tc>
          <w:tcPr>
            <w:tcW w:w="4984" w:type="dxa"/>
            <w:gridSpan w:val="4"/>
            <w:vAlign w:val="center"/>
          </w:tcPr>
          <w:p w14:paraId="29DA7056">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按时限要求编制/修改采购人所需资料文件</w:t>
            </w:r>
          </w:p>
        </w:tc>
        <w:tc>
          <w:tcPr>
            <w:tcW w:w="1468" w:type="dxa"/>
          </w:tcPr>
          <w:p w14:paraId="6E4F7D1B">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发现一次不符扣5分</w:t>
            </w:r>
          </w:p>
        </w:tc>
        <w:tc>
          <w:tcPr>
            <w:tcW w:w="1424" w:type="dxa"/>
          </w:tcPr>
          <w:p w14:paraId="4AD37388">
            <w:pPr>
              <w:widowControl/>
              <w:jc w:val="left"/>
              <w:rPr>
                <w:rFonts w:hint="eastAsia" w:ascii="宋体" w:hAnsi="宋体" w:cs="宋体"/>
                <w:b/>
                <w:bCs/>
                <w:color w:val="auto"/>
                <w:kern w:val="0"/>
                <w:sz w:val="24"/>
                <w:szCs w:val="24"/>
                <w:highlight w:val="none"/>
              </w:rPr>
            </w:pPr>
          </w:p>
        </w:tc>
      </w:tr>
      <w:tr w14:paraId="4C30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0574AF7C">
            <w:pPr>
              <w:pStyle w:val="20"/>
              <w:ind w:left="0"/>
              <w:rPr>
                <w:rFonts w:hint="eastAsia" w:ascii="宋体" w:hAnsi="宋体" w:cs="宋体"/>
                <w:b/>
                <w:bCs/>
                <w:color w:val="auto"/>
                <w:kern w:val="2"/>
                <w:sz w:val="24"/>
                <w:szCs w:val="24"/>
                <w:highlight w:val="none"/>
              </w:rPr>
            </w:pPr>
          </w:p>
        </w:tc>
        <w:tc>
          <w:tcPr>
            <w:tcW w:w="981" w:type="dxa"/>
            <w:vMerge w:val="continue"/>
            <w:vAlign w:val="center"/>
          </w:tcPr>
          <w:p w14:paraId="43AD69D1">
            <w:pPr>
              <w:pStyle w:val="20"/>
              <w:ind w:left="0"/>
              <w:rPr>
                <w:rFonts w:hint="eastAsia" w:ascii="宋体" w:hAnsi="宋体" w:cs="宋体"/>
                <w:b/>
                <w:bCs/>
                <w:color w:val="auto"/>
                <w:kern w:val="2"/>
                <w:sz w:val="24"/>
                <w:szCs w:val="24"/>
                <w:highlight w:val="none"/>
              </w:rPr>
            </w:pPr>
          </w:p>
        </w:tc>
        <w:tc>
          <w:tcPr>
            <w:tcW w:w="4984" w:type="dxa"/>
            <w:gridSpan w:val="4"/>
            <w:vAlign w:val="center"/>
          </w:tcPr>
          <w:p w14:paraId="0F615BE5">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编制文件认真、细致，内容完整齐全，招标范围明确，无缺、漏项，技术、经济条款清晰</w:t>
            </w:r>
          </w:p>
        </w:tc>
        <w:tc>
          <w:tcPr>
            <w:tcW w:w="1468" w:type="dxa"/>
          </w:tcPr>
          <w:p w14:paraId="59839209">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发现一处不符扣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4B6BB918">
            <w:pPr>
              <w:widowControl/>
              <w:jc w:val="left"/>
              <w:rPr>
                <w:rFonts w:hint="eastAsia" w:ascii="宋体" w:hAnsi="宋体" w:cs="宋体"/>
                <w:b/>
                <w:bCs/>
                <w:color w:val="auto"/>
                <w:kern w:val="0"/>
                <w:sz w:val="24"/>
                <w:szCs w:val="24"/>
                <w:highlight w:val="none"/>
              </w:rPr>
            </w:pPr>
          </w:p>
        </w:tc>
      </w:tr>
      <w:tr w14:paraId="6EBF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27E6EC4C">
            <w:pPr>
              <w:pStyle w:val="20"/>
              <w:ind w:left="0"/>
              <w:rPr>
                <w:rFonts w:hint="eastAsia" w:ascii="宋体" w:hAnsi="宋体" w:cs="宋体"/>
                <w:b/>
                <w:bCs/>
                <w:color w:val="auto"/>
                <w:kern w:val="2"/>
                <w:sz w:val="24"/>
                <w:szCs w:val="24"/>
                <w:highlight w:val="none"/>
              </w:rPr>
            </w:pPr>
          </w:p>
        </w:tc>
        <w:tc>
          <w:tcPr>
            <w:tcW w:w="981" w:type="dxa"/>
            <w:vMerge w:val="continue"/>
            <w:vAlign w:val="center"/>
          </w:tcPr>
          <w:p w14:paraId="651583DC">
            <w:pPr>
              <w:pStyle w:val="20"/>
              <w:ind w:left="0"/>
              <w:rPr>
                <w:rFonts w:hint="eastAsia" w:ascii="宋体" w:hAnsi="宋体" w:cs="宋体"/>
                <w:b/>
                <w:bCs/>
                <w:color w:val="auto"/>
                <w:kern w:val="2"/>
                <w:sz w:val="24"/>
                <w:szCs w:val="24"/>
                <w:highlight w:val="none"/>
              </w:rPr>
            </w:pPr>
          </w:p>
        </w:tc>
        <w:tc>
          <w:tcPr>
            <w:tcW w:w="4984" w:type="dxa"/>
            <w:gridSpan w:val="4"/>
            <w:vAlign w:val="center"/>
          </w:tcPr>
          <w:p w14:paraId="4CAA335B">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充分了解掌握采购项目需求情况，紧贴项目实际拟制各类采购文书</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严禁随意将以往的采购文件复制剪贴，糊弄应付，甚至错漏百出</w:t>
            </w:r>
          </w:p>
        </w:tc>
        <w:tc>
          <w:tcPr>
            <w:tcW w:w="1468" w:type="dxa"/>
          </w:tcPr>
          <w:p w14:paraId="03A3CF26">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发现一处不符扣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02CBB964">
            <w:pPr>
              <w:widowControl/>
              <w:jc w:val="left"/>
              <w:rPr>
                <w:rFonts w:hint="eastAsia" w:ascii="宋体" w:hAnsi="宋体" w:cs="宋体"/>
                <w:b/>
                <w:bCs/>
                <w:color w:val="auto"/>
                <w:kern w:val="0"/>
                <w:sz w:val="24"/>
                <w:szCs w:val="24"/>
                <w:highlight w:val="none"/>
              </w:rPr>
            </w:pPr>
          </w:p>
        </w:tc>
      </w:tr>
      <w:tr w14:paraId="2E71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709" w:type="dxa"/>
            <w:vMerge w:val="continue"/>
            <w:vAlign w:val="center"/>
          </w:tcPr>
          <w:p w14:paraId="66C26239">
            <w:pPr>
              <w:pStyle w:val="20"/>
              <w:ind w:left="0"/>
              <w:rPr>
                <w:rFonts w:hint="eastAsia" w:ascii="宋体" w:hAnsi="宋体" w:cs="宋体"/>
                <w:b/>
                <w:bCs/>
                <w:color w:val="auto"/>
                <w:kern w:val="2"/>
                <w:sz w:val="24"/>
                <w:szCs w:val="24"/>
                <w:highlight w:val="none"/>
              </w:rPr>
            </w:pPr>
          </w:p>
        </w:tc>
        <w:tc>
          <w:tcPr>
            <w:tcW w:w="981" w:type="dxa"/>
            <w:vMerge w:val="continue"/>
            <w:vAlign w:val="center"/>
          </w:tcPr>
          <w:p w14:paraId="2BCDD69B">
            <w:pPr>
              <w:pStyle w:val="20"/>
              <w:ind w:left="0"/>
              <w:rPr>
                <w:rFonts w:hint="eastAsia" w:ascii="宋体" w:hAnsi="宋体" w:cs="宋体"/>
                <w:b/>
                <w:bCs/>
                <w:color w:val="auto"/>
                <w:kern w:val="2"/>
                <w:sz w:val="24"/>
                <w:szCs w:val="24"/>
                <w:highlight w:val="none"/>
              </w:rPr>
            </w:pPr>
          </w:p>
        </w:tc>
        <w:tc>
          <w:tcPr>
            <w:tcW w:w="2285" w:type="dxa"/>
            <w:gridSpan w:val="2"/>
            <w:vMerge w:val="restart"/>
            <w:vAlign w:val="center"/>
          </w:tcPr>
          <w:p w14:paraId="68F39791">
            <w:pPr>
              <w:widowControl/>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文件编制内容有明显倾向性，不符合法律法规要求</w:t>
            </w:r>
            <w:r>
              <w:rPr>
                <w:rFonts w:hint="eastAsia" w:ascii="宋体" w:hAnsi="宋体" w:cs="宋体"/>
                <w:color w:val="auto"/>
                <w:kern w:val="0"/>
                <w:sz w:val="24"/>
                <w:szCs w:val="24"/>
                <w:highlight w:val="none"/>
                <w:lang w:val="en-US" w:eastAsia="zh-CN"/>
              </w:rPr>
              <w:t>的</w:t>
            </w:r>
          </w:p>
        </w:tc>
        <w:tc>
          <w:tcPr>
            <w:tcW w:w="2699" w:type="dxa"/>
            <w:gridSpan w:val="2"/>
            <w:vAlign w:val="center"/>
          </w:tcPr>
          <w:p w14:paraId="5D1150F2">
            <w:pPr>
              <w:widowControl/>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医院内部</w:t>
            </w:r>
            <w:r>
              <w:rPr>
                <w:rFonts w:hint="eastAsia" w:ascii="宋体" w:hAnsi="宋体" w:cs="宋体"/>
                <w:color w:val="auto"/>
                <w:kern w:val="0"/>
                <w:sz w:val="24"/>
                <w:szCs w:val="24"/>
                <w:highlight w:val="none"/>
              </w:rPr>
              <w:t>发现</w:t>
            </w:r>
            <w:r>
              <w:rPr>
                <w:rFonts w:hint="eastAsia" w:ascii="宋体" w:hAnsi="宋体" w:cs="宋体"/>
                <w:color w:val="auto"/>
                <w:kern w:val="0"/>
                <w:sz w:val="24"/>
                <w:szCs w:val="24"/>
                <w:highlight w:val="none"/>
                <w:lang w:val="en-US" w:eastAsia="zh-CN"/>
              </w:rPr>
              <w:t>的</w:t>
            </w:r>
          </w:p>
        </w:tc>
        <w:tc>
          <w:tcPr>
            <w:tcW w:w="1468" w:type="dxa"/>
          </w:tcPr>
          <w:p w14:paraId="2759C897">
            <w:pPr>
              <w:widowControl/>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发现</w:t>
            </w:r>
            <w:r>
              <w:rPr>
                <w:rFonts w:hint="eastAsia" w:ascii="宋体" w:hAnsi="宋体" w:cs="宋体"/>
                <w:color w:val="auto"/>
                <w:kern w:val="0"/>
                <w:sz w:val="24"/>
                <w:szCs w:val="24"/>
                <w:highlight w:val="none"/>
              </w:rPr>
              <w:t>一处扣</w:t>
            </w:r>
            <w:r>
              <w:rPr>
                <w:rFonts w:hint="eastAsia" w:ascii="宋体" w:hAnsi="宋体" w:cs="宋体"/>
                <w:color w:val="auto"/>
                <w:kern w:val="0"/>
                <w:sz w:val="24"/>
                <w:szCs w:val="24"/>
                <w:highlight w:val="none"/>
                <w:lang w:val="en-US" w:eastAsia="zh-CN"/>
              </w:rPr>
              <w:t>1</w:t>
            </w:r>
            <w:r>
              <w:rPr>
                <w:rFonts w:hint="eastAsia" w:ascii="宋体" w:hAnsi="宋体" w:cs="宋体"/>
                <w:color w:val="auto"/>
                <w:kern w:val="0"/>
                <w:sz w:val="24"/>
                <w:szCs w:val="24"/>
                <w:highlight w:val="none"/>
              </w:rPr>
              <w:t>0分</w:t>
            </w:r>
          </w:p>
        </w:tc>
        <w:tc>
          <w:tcPr>
            <w:tcW w:w="1424" w:type="dxa"/>
          </w:tcPr>
          <w:p w14:paraId="328534BD">
            <w:pPr>
              <w:widowControl/>
              <w:jc w:val="left"/>
              <w:rPr>
                <w:rFonts w:hint="eastAsia" w:ascii="宋体" w:hAnsi="宋体" w:cs="宋体"/>
                <w:b/>
                <w:bCs/>
                <w:color w:val="auto"/>
                <w:kern w:val="0"/>
                <w:sz w:val="24"/>
                <w:szCs w:val="24"/>
                <w:highlight w:val="none"/>
              </w:rPr>
            </w:pPr>
          </w:p>
        </w:tc>
      </w:tr>
      <w:tr w14:paraId="7943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09" w:type="dxa"/>
            <w:vMerge w:val="continue"/>
            <w:vAlign w:val="center"/>
          </w:tcPr>
          <w:p w14:paraId="38452BB9">
            <w:pPr>
              <w:pStyle w:val="20"/>
              <w:ind w:left="0"/>
              <w:rPr>
                <w:rFonts w:hint="eastAsia" w:ascii="宋体" w:hAnsi="宋体" w:cs="宋体"/>
                <w:b/>
                <w:bCs/>
                <w:color w:val="auto"/>
                <w:kern w:val="2"/>
                <w:sz w:val="24"/>
                <w:szCs w:val="24"/>
                <w:highlight w:val="none"/>
              </w:rPr>
            </w:pPr>
          </w:p>
        </w:tc>
        <w:tc>
          <w:tcPr>
            <w:tcW w:w="981" w:type="dxa"/>
            <w:vMerge w:val="continue"/>
            <w:vAlign w:val="center"/>
          </w:tcPr>
          <w:p w14:paraId="1CBB9019">
            <w:pPr>
              <w:pStyle w:val="20"/>
              <w:ind w:left="0"/>
              <w:rPr>
                <w:rFonts w:hint="eastAsia" w:ascii="宋体" w:hAnsi="宋体" w:cs="宋体"/>
                <w:b/>
                <w:bCs/>
                <w:color w:val="auto"/>
                <w:kern w:val="2"/>
                <w:sz w:val="24"/>
                <w:szCs w:val="24"/>
                <w:highlight w:val="none"/>
              </w:rPr>
            </w:pPr>
          </w:p>
        </w:tc>
        <w:tc>
          <w:tcPr>
            <w:tcW w:w="2285" w:type="dxa"/>
            <w:gridSpan w:val="2"/>
            <w:vMerge w:val="continue"/>
            <w:vAlign w:val="center"/>
          </w:tcPr>
          <w:p w14:paraId="4E393DB1">
            <w:pPr>
              <w:widowControl/>
              <w:rPr>
                <w:rFonts w:hint="eastAsia" w:ascii="宋体" w:hAnsi="宋体" w:cs="宋体"/>
                <w:color w:val="auto"/>
                <w:kern w:val="0"/>
                <w:sz w:val="24"/>
                <w:szCs w:val="24"/>
                <w:highlight w:val="none"/>
              </w:rPr>
            </w:pPr>
          </w:p>
        </w:tc>
        <w:tc>
          <w:tcPr>
            <w:tcW w:w="2699" w:type="dxa"/>
            <w:gridSpan w:val="2"/>
            <w:vAlign w:val="center"/>
          </w:tcPr>
          <w:p w14:paraId="37D7D3D7">
            <w:pPr>
              <w:widowControl/>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致使医院受到质疑、投诉</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处罚的</w:t>
            </w:r>
          </w:p>
        </w:tc>
        <w:tc>
          <w:tcPr>
            <w:tcW w:w="1468" w:type="dxa"/>
          </w:tcPr>
          <w:p w14:paraId="596B3DDB">
            <w:pPr>
              <w:widowControl/>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发现</w:t>
            </w:r>
            <w:r>
              <w:rPr>
                <w:rFonts w:hint="eastAsia" w:ascii="宋体" w:hAnsi="宋体" w:cs="宋体"/>
                <w:color w:val="auto"/>
                <w:kern w:val="0"/>
                <w:sz w:val="24"/>
                <w:szCs w:val="24"/>
                <w:highlight w:val="none"/>
              </w:rPr>
              <w:t>一处扣</w:t>
            </w: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0分</w:t>
            </w:r>
          </w:p>
        </w:tc>
        <w:tc>
          <w:tcPr>
            <w:tcW w:w="1424" w:type="dxa"/>
          </w:tcPr>
          <w:p w14:paraId="5E06BC4E">
            <w:pPr>
              <w:widowControl/>
              <w:jc w:val="left"/>
              <w:rPr>
                <w:rFonts w:hint="eastAsia" w:ascii="宋体" w:hAnsi="宋体" w:cs="宋体"/>
                <w:b/>
                <w:bCs/>
                <w:color w:val="auto"/>
                <w:kern w:val="0"/>
                <w:sz w:val="24"/>
                <w:szCs w:val="24"/>
                <w:highlight w:val="none"/>
              </w:rPr>
            </w:pPr>
          </w:p>
        </w:tc>
      </w:tr>
      <w:tr w14:paraId="32A2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709" w:type="dxa"/>
            <w:vMerge w:val="restart"/>
            <w:vAlign w:val="center"/>
          </w:tcPr>
          <w:p w14:paraId="089A1A8A">
            <w:pPr>
              <w:pStyle w:val="20"/>
              <w:ind w:left="0"/>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3</w:t>
            </w:r>
          </w:p>
        </w:tc>
        <w:tc>
          <w:tcPr>
            <w:tcW w:w="981" w:type="dxa"/>
            <w:vMerge w:val="restart"/>
            <w:vAlign w:val="center"/>
          </w:tcPr>
          <w:p w14:paraId="7EB1F710">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组织协调服务情况</w:t>
            </w:r>
          </w:p>
          <w:p w14:paraId="68BA2420">
            <w:pPr>
              <w:pStyle w:val="20"/>
              <w:ind w:left="0"/>
              <w:rPr>
                <w:rFonts w:hint="eastAsia" w:ascii="宋体" w:hAnsi="宋体" w:cs="宋体"/>
                <w:color w:val="auto"/>
                <w:kern w:val="2"/>
                <w:sz w:val="24"/>
                <w:szCs w:val="24"/>
                <w:highlight w:val="none"/>
              </w:rPr>
            </w:pPr>
          </w:p>
        </w:tc>
        <w:tc>
          <w:tcPr>
            <w:tcW w:w="4984" w:type="dxa"/>
            <w:gridSpan w:val="4"/>
            <w:vAlign w:val="center"/>
          </w:tcPr>
          <w:p w14:paraId="1BAFBE39">
            <w:pPr>
              <w:widowControl/>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工作人员配备齐全，准备工作充分，采购前期工作或开评标工作组织有序，记录准确</w:t>
            </w:r>
          </w:p>
        </w:tc>
        <w:tc>
          <w:tcPr>
            <w:tcW w:w="1468" w:type="dxa"/>
          </w:tcPr>
          <w:p w14:paraId="3D888AB3">
            <w:pPr>
              <w:widowControl/>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发现一处不符扣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02CB813F">
            <w:pPr>
              <w:widowControl/>
              <w:jc w:val="left"/>
              <w:rPr>
                <w:rFonts w:hint="eastAsia" w:ascii="宋体" w:hAnsi="宋体" w:cs="宋体"/>
                <w:b/>
                <w:bCs/>
                <w:color w:val="auto"/>
                <w:kern w:val="0"/>
                <w:sz w:val="24"/>
                <w:szCs w:val="24"/>
                <w:highlight w:val="none"/>
              </w:rPr>
            </w:pPr>
          </w:p>
          <w:p w14:paraId="0780AD09">
            <w:pPr>
              <w:widowControl/>
              <w:jc w:val="left"/>
              <w:rPr>
                <w:rFonts w:hint="eastAsia" w:ascii="宋体" w:hAnsi="宋体" w:cs="宋体"/>
                <w:b/>
                <w:bCs/>
                <w:color w:val="auto"/>
                <w:kern w:val="0"/>
                <w:sz w:val="24"/>
                <w:szCs w:val="24"/>
                <w:highlight w:val="none"/>
              </w:rPr>
            </w:pPr>
          </w:p>
        </w:tc>
      </w:tr>
      <w:tr w14:paraId="6FF3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1FC565E6">
            <w:pPr>
              <w:pStyle w:val="20"/>
              <w:ind w:left="0"/>
              <w:rPr>
                <w:rFonts w:hint="eastAsia" w:ascii="宋体" w:hAnsi="宋体" w:cs="宋体"/>
                <w:color w:val="auto"/>
                <w:kern w:val="2"/>
                <w:sz w:val="24"/>
                <w:szCs w:val="24"/>
                <w:highlight w:val="none"/>
              </w:rPr>
            </w:pPr>
          </w:p>
        </w:tc>
        <w:tc>
          <w:tcPr>
            <w:tcW w:w="981" w:type="dxa"/>
            <w:vMerge w:val="continue"/>
            <w:vAlign w:val="center"/>
          </w:tcPr>
          <w:p w14:paraId="7DB45BA3">
            <w:pPr>
              <w:pStyle w:val="20"/>
              <w:ind w:left="0"/>
              <w:rPr>
                <w:rFonts w:hint="eastAsia" w:ascii="宋体" w:hAnsi="宋体" w:cs="宋体"/>
                <w:color w:val="auto"/>
                <w:kern w:val="2"/>
                <w:sz w:val="24"/>
                <w:szCs w:val="24"/>
                <w:highlight w:val="none"/>
              </w:rPr>
            </w:pPr>
          </w:p>
        </w:tc>
        <w:tc>
          <w:tcPr>
            <w:tcW w:w="4984" w:type="dxa"/>
            <w:gridSpan w:val="4"/>
            <w:vAlign w:val="center"/>
          </w:tcPr>
          <w:p w14:paraId="4E60117A">
            <w:pPr>
              <w:widowControl/>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开评标工作组织程序合法</w:t>
            </w:r>
          </w:p>
        </w:tc>
        <w:tc>
          <w:tcPr>
            <w:tcW w:w="1468" w:type="dxa"/>
          </w:tcPr>
          <w:p w14:paraId="15E7632B">
            <w:pPr>
              <w:widowControl/>
              <w:jc w:val="left"/>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发现一</w:t>
            </w:r>
            <w:r>
              <w:rPr>
                <w:rFonts w:hint="eastAsia" w:ascii="宋体" w:hAnsi="宋体" w:cs="宋体"/>
                <w:color w:val="auto"/>
                <w:kern w:val="0"/>
                <w:sz w:val="24"/>
                <w:szCs w:val="24"/>
                <w:highlight w:val="none"/>
                <w:lang w:val="en-US" w:eastAsia="zh-CN"/>
              </w:rPr>
              <w:t>次</w:t>
            </w:r>
            <w:r>
              <w:rPr>
                <w:rFonts w:hint="eastAsia" w:ascii="宋体" w:hAnsi="宋体" w:cs="宋体"/>
                <w:color w:val="auto"/>
                <w:kern w:val="0"/>
                <w:sz w:val="24"/>
                <w:szCs w:val="24"/>
                <w:highlight w:val="none"/>
              </w:rPr>
              <w:t>不符扣</w:t>
            </w:r>
            <w:r>
              <w:rPr>
                <w:rFonts w:hint="eastAsia" w:ascii="宋体" w:hAnsi="宋体" w:cs="宋体"/>
                <w:color w:val="auto"/>
                <w:kern w:val="0"/>
                <w:sz w:val="24"/>
                <w:szCs w:val="24"/>
                <w:highlight w:val="none"/>
                <w:lang w:val="en-US" w:eastAsia="zh-CN"/>
              </w:rPr>
              <w:t>30</w:t>
            </w:r>
            <w:r>
              <w:rPr>
                <w:rFonts w:hint="eastAsia" w:ascii="宋体" w:hAnsi="宋体" w:cs="宋体"/>
                <w:color w:val="auto"/>
                <w:kern w:val="0"/>
                <w:sz w:val="24"/>
                <w:szCs w:val="24"/>
                <w:highlight w:val="none"/>
              </w:rPr>
              <w:t>分</w:t>
            </w:r>
          </w:p>
        </w:tc>
        <w:tc>
          <w:tcPr>
            <w:tcW w:w="1424" w:type="dxa"/>
          </w:tcPr>
          <w:p w14:paraId="7EAABE65">
            <w:pPr>
              <w:widowControl/>
              <w:jc w:val="left"/>
              <w:rPr>
                <w:rFonts w:hint="eastAsia" w:ascii="宋体" w:hAnsi="宋体" w:cs="宋体"/>
                <w:b/>
                <w:bCs/>
                <w:color w:val="auto"/>
                <w:kern w:val="0"/>
                <w:sz w:val="24"/>
                <w:szCs w:val="24"/>
                <w:highlight w:val="none"/>
              </w:rPr>
            </w:pPr>
          </w:p>
        </w:tc>
      </w:tr>
      <w:tr w14:paraId="22B1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7A9A3D47">
            <w:pPr>
              <w:pStyle w:val="20"/>
              <w:ind w:left="0"/>
              <w:rPr>
                <w:rFonts w:hint="eastAsia" w:ascii="宋体" w:hAnsi="宋体" w:cs="宋体"/>
                <w:color w:val="auto"/>
                <w:kern w:val="2"/>
                <w:sz w:val="24"/>
                <w:szCs w:val="24"/>
                <w:highlight w:val="none"/>
              </w:rPr>
            </w:pPr>
          </w:p>
        </w:tc>
        <w:tc>
          <w:tcPr>
            <w:tcW w:w="981" w:type="dxa"/>
            <w:vMerge w:val="continue"/>
            <w:vAlign w:val="center"/>
          </w:tcPr>
          <w:p w14:paraId="3CCCF8A4">
            <w:pPr>
              <w:pStyle w:val="20"/>
              <w:ind w:left="0"/>
              <w:rPr>
                <w:rFonts w:hint="eastAsia" w:ascii="宋体" w:hAnsi="宋体" w:cs="宋体"/>
                <w:color w:val="auto"/>
                <w:kern w:val="2"/>
                <w:sz w:val="24"/>
                <w:szCs w:val="24"/>
                <w:highlight w:val="none"/>
              </w:rPr>
            </w:pPr>
          </w:p>
        </w:tc>
        <w:tc>
          <w:tcPr>
            <w:tcW w:w="4984" w:type="dxa"/>
            <w:gridSpan w:val="4"/>
            <w:vAlign w:val="center"/>
          </w:tcPr>
          <w:p w14:paraId="72B9695E">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更换团队负责人</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团队负责人未深度参与代理项目；</w:t>
            </w:r>
            <w:r>
              <w:rPr>
                <w:rFonts w:hint="eastAsia" w:ascii="宋体" w:hAnsi="宋体" w:cs="宋体"/>
                <w:color w:val="auto"/>
                <w:kern w:val="0"/>
                <w:sz w:val="24"/>
                <w:szCs w:val="24"/>
                <w:highlight w:val="none"/>
              </w:rPr>
              <w:t>因故放弃代理服务的</w:t>
            </w:r>
          </w:p>
        </w:tc>
        <w:tc>
          <w:tcPr>
            <w:tcW w:w="1468" w:type="dxa"/>
          </w:tcPr>
          <w:p w14:paraId="69026476">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w:t>
            </w:r>
            <w:r>
              <w:rPr>
                <w:rFonts w:hint="eastAsia" w:ascii="宋体" w:hAnsi="宋体" w:cs="宋体"/>
                <w:color w:val="auto"/>
                <w:kern w:val="0"/>
                <w:sz w:val="24"/>
                <w:szCs w:val="24"/>
                <w:highlight w:val="none"/>
                <w:lang w:val="en-US" w:eastAsia="zh-CN"/>
              </w:rPr>
              <w:t>处</w:t>
            </w:r>
            <w:r>
              <w:rPr>
                <w:rFonts w:hint="eastAsia" w:ascii="宋体" w:hAnsi="宋体" w:cs="宋体"/>
                <w:color w:val="auto"/>
                <w:kern w:val="0"/>
                <w:sz w:val="24"/>
                <w:szCs w:val="24"/>
                <w:highlight w:val="none"/>
              </w:rPr>
              <w:t>扣20分</w:t>
            </w:r>
          </w:p>
        </w:tc>
        <w:tc>
          <w:tcPr>
            <w:tcW w:w="1424" w:type="dxa"/>
          </w:tcPr>
          <w:p w14:paraId="15B9F06B">
            <w:pPr>
              <w:widowControl/>
              <w:jc w:val="left"/>
              <w:rPr>
                <w:rFonts w:hint="eastAsia" w:ascii="宋体" w:hAnsi="宋体" w:cs="宋体"/>
                <w:b/>
                <w:bCs/>
                <w:color w:val="auto"/>
                <w:kern w:val="0"/>
                <w:sz w:val="24"/>
                <w:szCs w:val="24"/>
                <w:highlight w:val="none"/>
              </w:rPr>
            </w:pPr>
          </w:p>
        </w:tc>
      </w:tr>
      <w:tr w14:paraId="722E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0D1FE9BC">
            <w:pPr>
              <w:pStyle w:val="20"/>
              <w:ind w:left="0"/>
              <w:rPr>
                <w:rFonts w:hint="eastAsia" w:ascii="宋体" w:hAnsi="宋体" w:cs="宋体"/>
                <w:color w:val="auto"/>
                <w:kern w:val="2"/>
                <w:sz w:val="24"/>
                <w:szCs w:val="24"/>
                <w:highlight w:val="none"/>
              </w:rPr>
            </w:pPr>
          </w:p>
        </w:tc>
        <w:tc>
          <w:tcPr>
            <w:tcW w:w="981" w:type="dxa"/>
            <w:vMerge w:val="continue"/>
            <w:vAlign w:val="center"/>
          </w:tcPr>
          <w:p w14:paraId="37ED46E6">
            <w:pPr>
              <w:pStyle w:val="20"/>
              <w:ind w:left="0"/>
              <w:rPr>
                <w:rFonts w:hint="eastAsia" w:ascii="宋体" w:hAnsi="宋体" w:cs="宋体"/>
                <w:color w:val="auto"/>
                <w:kern w:val="2"/>
                <w:sz w:val="24"/>
                <w:szCs w:val="24"/>
                <w:highlight w:val="none"/>
              </w:rPr>
            </w:pPr>
          </w:p>
        </w:tc>
        <w:tc>
          <w:tcPr>
            <w:tcW w:w="4984" w:type="dxa"/>
            <w:gridSpan w:val="4"/>
            <w:vAlign w:val="center"/>
          </w:tcPr>
          <w:p w14:paraId="34022D9B">
            <w:pPr>
              <w:widowControl/>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更换团队其他人员</w:t>
            </w:r>
          </w:p>
        </w:tc>
        <w:tc>
          <w:tcPr>
            <w:tcW w:w="1468" w:type="dxa"/>
          </w:tcPr>
          <w:p w14:paraId="0D53A6D9">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发现一次扣5分</w:t>
            </w:r>
          </w:p>
        </w:tc>
        <w:tc>
          <w:tcPr>
            <w:tcW w:w="1424" w:type="dxa"/>
          </w:tcPr>
          <w:p w14:paraId="017CC845">
            <w:pPr>
              <w:widowControl/>
              <w:jc w:val="left"/>
              <w:rPr>
                <w:rFonts w:hint="eastAsia" w:ascii="宋体" w:hAnsi="宋体" w:cs="宋体"/>
                <w:b/>
                <w:bCs/>
                <w:color w:val="auto"/>
                <w:kern w:val="0"/>
                <w:sz w:val="24"/>
                <w:szCs w:val="24"/>
                <w:highlight w:val="none"/>
              </w:rPr>
            </w:pPr>
          </w:p>
        </w:tc>
      </w:tr>
      <w:tr w14:paraId="60E2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0782A94D">
            <w:pPr>
              <w:pStyle w:val="20"/>
              <w:ind w:left="0"/>
              <w:rPr>
                <w:rFonts w:hint="eastAsia" w:ascii="宋体" w:hAnsi="宋体" w:cs="宋体"/>
                <w:color w:val="auto"/>
                <w:kern w:val="2"/>
                <w:sz w:val="24"/>
                <w:szCs w:val="24"/>
                <w:highlight w:val="none"/>
              </w:rPr>
            </w:pPr>
          </w:p>
        </w:tc>
        <w:tc>
          <w:tcPr>
            <w:tcW w:w="981" w:type="dxa"/>
            <w:vMerge w:val="continue"/>
            <w:vAlign w:val="center"/>
          </w:tcPr>
          <w:p w14:paraId="62440D99">
            <w:pPr>
              <w:pStyle w:val="20"/>
              <w:ind w:left="0"/>
              <w:rPr>
                <w:rFonts w:hint="eastAsia" w:ascii="宋体" w:hAnsi="宋体" w:cs="宋体"/>
                <w:color w:val="auto"/>
                <w:kern w:val="2"/>
                <w:sz w:val="24"/>
                <w:szCs w:val="24"/>
                <w:highlight w:val="none"/>
              </w:rPr>
            </w:pPr>
          </w:p>
        </w:tc>
        <w:tc>
          <w:tcPr>
            <w:tcW w:w="4984" w:type="dxa"/>
            <w:gridSpan w:val="4"/>
            <w:vAlign w:val="center"/>
          </w:tcPr>
          <w:p w14:paraId="21E8DC9B">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尽力满足采购人、评委会成员的合理要求。</w:t>
            </w:r>
          </w:p>
        </w:tc>
        <w:tc>
          <w:tcPr>
            <w:tcW w:w="1468" w:type="dxa"/>
          </w:tcPr>
          <w:p w14:paraId="25329C44">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发现一处不符扣5分</w:t>
            </w:r>
          </w:p>
        </w:tc>
        <w:tc>
          <w:tcPr>
            <w:tcW w:w="1424" w:type="dxa"/>
          </w:tcPr>
          <w:p w14:paraId="64DC7311">
            <w:pPr>
              <w:widowControl/>
              <w:jc w:val="left"/>
              <w:rPr>
                <w:rFonts w:hint="eastAsia" w:ascii="宋体" w:hAnsi="宋体" w:cs="宋体"/>
                <w:b/>
                <w:bCs/>
                <w:color w:val="auto"/>
                <w:kern w:val="0"/>
                <w:sz w:val="24"/>
                <w:szCs w:val="24"/>
                <w:highlight w:val="none"/>
              </w:rPr>
            </w:pPr>
          </w:p>
        </w:tc>
      </w:tr>
      <w:tr w14:paraId="1D7C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1018B3BE">
            <w:pPr>
              <w:pStyle w:val="20"/>
              <w:ind w:left="0"/>
              <w:rPr>
                <w:rFonts w:hint="eastAsia" w:ascii="宋体" w:hAnsi="宋体" w:cs="宋体"/>
                <w:b/>
                <w:bCs/>
                <w:color w:val="auto"/>
                <w:kern w:val="2"/>
                <w:sz w:val="24"/>
                <w:szCs w:val="24"/>
                <w:highlight w:val="none"/>
              </w:rPr>
            </w:pPr>
            <w:r>
              <w:rPr>
                <w:rFonts w:hint="eastAsia" w:ascii="宋体" w:hAnsi="宋体" w:cs="宋体"/>
                <w:color w:val="auto"/>
                <w:kern w:val="2"/>
                <w:sz w:val="24"/>
                <w:szCs w:val="24"/>
                <w:highlight w:val="none"/>
              </w:rPr>
              <w:t>4</w:t>
            </w:r>
          </w:p>
        </w:tc>
        <w:tc>
          <w:tcPr>
            <w:tcW w:w="981" w:type="dxa"/>
            <w:vMerge w:val="restart"/>
            <w:vAlign w:val="center"/>
          </w:tcPr>
          <w:p w14:paraId="37EBEE16">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采购</w:t>
            </w:r>
            <w:r>
              <w:rPr>
                <w:rFonts w:hint="eastAsia" w:ascii="宋体" w:hAnsi="宋体" w:cs="宋体"/>
                <w:color w:val="auto"/>
                <w:kern w:val="0"/>
                <w:sz w:val="24"/>
                <w:szCs w:val="24"/>
                <w:highlight w:val="none"/>
              </w:rPr>
              <w:t>活动开展情况</w:t>
            </w:r>
          </w:p>
        </w:tc>
        <w:tc>
          <w:tcPr>
            <w:tcW w:w="4984" w:type="dxa"/>
            <w:gridSpan w:val="4"/>
            <w:vAlign w:val="center"/>
          </w:tcPr>
          <w:p w14:paraId="2675B8E6">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公告发布程序合法合规，规范按项目类别抽取评标专家</w:t>
            </w:r>
          </w:p>
        </w:tc>
        <w:tc>
          <w:tcPr>
            <w:tcW w:w="1468" w:type="dxa"/>
          </w:tcPr>
          <w:p w14:paraId="1527A5B5">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发现一处不符扣</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分</w:t>
            </w:r>
          </w:p>
        </w:tc>
        <w:tc>
          <w:tcPr>
            <w:tcW w:w="1424" w:type="dxa"/>
          </w:tcPr>
          <w:p w14:paraId="355D2360">
            <w:pPr>
              <w:widowControl/>
              <w:jc w:val="left"/>
              <w:rPr>
                <w:rFonts w:hint="eastAsia" w:ascii="宋体" w:hAnsi="宋体" w:cs="宋体"/>
                <w:b/>
                <w:bCs/>
                <w:color w:val="auto"/>
                <w:kern w:val="0"/>
                <w:sz w:val="24"/>
                <w:szCs w:val="24"/>
                <w:highlight w:val="none"/>
              </w:rPr>
            </w:pPr>
          </w:p>
        </w:tc>
      </w:tr>
      <w:tr w14:paraId="6D99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7F26820C">
            <w:pPr>
              <w:pStyle w:val="20"/>
              <w:ind w:left="0"/>
              <w:rPr>
                <w:rFonts w:hint="eastAsia" w:ascii="宋体" w:hAnsi="宋体" w:cs="宋体"/>
                <w:b/>
                <w:bCs/>
                <w:color w:val="auto"/>
                <w:kern w:val="2"/>
                <w:sz w:val="24"/>
                <w:szCs w:val="24"/>
                <w:highlight w:val="none"/>
              </w:rPr>
            </w:pPr>
          </w:p>
        </w:tc>
        <w:tc>
          <w:tcPr>
            <w:tcW w:w="981" w:type="dxa"/>
            <w:vMerge w:val="continue"/>
            <w:vAlign w:val="center"/>
          </w:tcPr>
          <w:p w14:paraId="571883FA">
            <w:pPr>
              <w:pStyle w:val="20"/>
              <w:ind w:left="0"/>
              <w:rPr>
                <w:rFonts w:hint="eastAsia" w:ascii="宋体" w:hAnsi="宋体" w:cs="宋体"/>
                <w:color w:val="auto"/>
                <w:kern w:val="2"/>
                <w:sz w:val="24"/>
                <w:szCs w:val="24"/>
                <w:highlight w:val="none"/>
              </w:rPr>
            </w:pPr>
          </w:p>
        </w:tc>
        <w:tc>
          <w:tcPr>
            <w:tcW w:w="4984" w:type="dxa"/>
            <w:gridSpan w:val="4"/>
            <w:vAlign w:val="center"/>
          </w:tcPr>
          <w:p w14:paraId="6375873F">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核查了采购文件要求核查的信息，准确无误；评标报告填写规范，签字齐全</w:t>
            </w:r>
          </w:p>
        </w:tc>
        <w:tc>
          <w:tcPr>
            <w:tcW w:w="1468" w:type="dxa"/>
          </w:tcPr>
          <w:p w14:paraId="5F56FF81">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发现一次不符扣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53C0F36F">
            <w:pPr>
              <w:widowControl/>
              <w:jc w:val="left"/>
              <w:rPr>
                <w:rFonts w:hint="eastAsia" w:ascii="宋体" w:hAnsi="宋体" w:cs="宋体"/>
                <w:b/>
                <w:bCs/>
                <w:color w:val="auto"/>
                <w:kern w:val="0"/>
                <w:sz w:val="24"/>
                <w:szCs w:val="24"/>
                <w:highlight w:val="none"/>
              </w:rPr>
            </w:pPr>
          </w:p>
        </w:tc>
      </w:tr>
      <w:tr w14:paraId="4903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0BE683F8">
            <w:pPr>
              <w:pStyle w:val="20"/>
              <w:ind w:left="0"/>
              <w:rPr>
                <w:rFonts w:hint="eastAsia" w:ascii="宋体" w:hAnsi="宋体" w:cs="宋体"/>
                <w:b/>
                <w:bCs/>
                <w:color w:val="auto"/>
                <w:kern w:val="2"/>
                <w:sz w:val="24"/>
                <w:szCs w:val="24"/>
                <w:highlight w:val="none"/>
              </w:rPr>
            </w:pPr>
          </w:p>
        </w:tc>
        <w:tc>
          <w:tcPr>
            <w:tcW w:w="981" w:type="dxa"/>
            <w:vMerge w:val="continue"/>
            <w:vAlign w:val="center"/>
          </w:tcPr>
          <w:p w14:paraId="06203885">
            <w:pPr>
              <w:pStyle w:val="20"/>
              <w:ind w:left="0"/>
              <w:rPr>
                <w:rFonts w:hint="eastAsia" w:ascii="宋体" w:hAnsi="宋体" w:cs="宋体"/>
                <w:b/>
                <w:bCs/>
                <w:color w:val="auto"/>
                <w:kern w:val="2"/>
                <w:sz w:val="24"/>
                <w:szCs w:val="24"/>
                <w:highlight w:val="none"/>
              </w:rPr>
            </w:pPr>
          </w:p>
        </w:tc>
        <w:tc>
          <w:tcPr>
            <w:tcW w:w="4984" w:type="dxa"/>
            <w:gridSpan w:val="4"/>
            <w:vAlign w:val="center"/>
          </w:tcPr>
          <w:p w14:paraId="6A9DE0CF">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投标人质疑投诉处理规范、及时</w:t>
            </w:r>
          </w:p>
        </w:tc>
        <w:tc>
          <w:tcPr>
            <w:tcW w:w="1468" w:type="dxa"/>
          </w:tcPr>
          <w:p w14:paraId="0B488832">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发现一处不符扣</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分</w:t>
            </w:r>
          </w:p>
        </w:tc>
        <w:tc>
          <w:tcPr>
            <w:tcW w:w="1424" w:type="dxa"/>
          </w:tcPr>
          <w:p w14:paraId="3883F1FD">
            <w:pPr>
              <w:widowControl/>
              <w:jc w:val="left"/>
              <w:rPr>
                <w:rFonts w:hint="eastAsia" w:ascii="宋体" w:hAnsi="宋体" w:cs="宋体"/>
                <w:b/>
                <w:bCs/>
                <w:color w:val="auto"/>
                <w:kern w:val="0"/>
                <w:sz w:val="24"/>
                <w:szCs w:val="24"/>
                <w:highlight w:val="none"/>
              </w:rPr>
            </w:pPr>
          </w:p>
        </w:tc>
      </w:tr>
      <w:tr w14:paraId="5A9B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384AB0BB">
            <w:pPr>
              <w:pStyle w:val="20"/>
              <w:ind w:left="0"/>
              <w:rPr>
                <w:rFonts w:hint="eastAsia" w:ascii="宋体" w:hAnsi="宋体" w:cs="宋体"/>
                <w:b/>
                <w:bCs/>
                <w:color w:val="auto"/>
                <w:kern w:val="2"/>
                <w:sz w:val="24"/>
                <w:szCs w:val="24"/>
                <w:highlight w:val="none"/>
              </w:rPr>
            </w:pPr>
          </w:p>
        </w:tc>
        <w:tc>
          <w:tcPr>
            <w:tcW w:w="981" w:type="dxa"/>
            <w:vMerge w:val="continue"/>
            <w:vAlign w:val="center"/>
          </w:tcPr>
          <w:p w14:paraId="76F4F165">
            <w:pPr>
              <w:pStyle w:val="20"/>
              <w:ind w:left="0"/>
              <w:rPr>
                <w:rFonts w:hint="eastAsia" w:ascii="宋体" w:hAnsi="宋体" w:cs="宋体"/>
                <w:b/>
                <w:bCs/>
                <w:color w:val="auto"/>
                <w:kern w:val="2"/>
                <w:sz w:val="24"/>
                <w:szCs w:val="24"/>
                <w:highlight w:val="none"/>
              </w:rPr>
            </w:pPr>
          </w:p>
        </w:tc>
        <w:tc>
          <w:tcPr>
            <w:tcW w:w="4984" w:type="dxa"/>
            <w:gridSpan w:val="4"/>
            <w:vAlign w:val="center"/>
          </w:tcPr>
          <w:p w14:paraId="71FC3527">
            <w:pPr>
              <w:widowControl/>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开评标现场有完善的监控设备，可供医院审计或相关部门随时调取开评标现场录像</w:t>
            </w:r>
          </w:p>
        </w:tc>
        <w:tc>
          <w:tcPr>
            <w:tcW w:w="1468" w:type="dxa"/>
          </w:tcPr>
          <w:p w14:paraId="28A3C479">
            <w:pPr>
              <w:widowControl/>
              <w:jc w:val="left"/>
              <w:rPr>
                <w:rFonts w:hint="eastAsia" w:ascii="宋体" w:hAnsi="宋体" w:cs="宋体"/>
                <w:b/>
                <w:bCs/>
                <w:color w:val="auto"/>
                <w:kern w:val="0"/>
                <w:sz w:val="24"/>
                <w:szCs w:val="24"/>
                <w:highlight w:val="none"/>
              </w:rPr>
            </w:pPr>
            <w:r>
              <w:rPr>
                <w:rFonts w:hint="eastAsia" w:ascii="宋体" w:hAnsi="宋体" w:cs="宋体"/>
                <w:color w:val="auto"/>
                <w:kern w:val="0"/>
                <w:sz w:val="24"/>
                <w:szCs w:val="24"/>
                <w:highlight w:val="none"/>
              </w:rPr>
              <w:t>发现一次不符扣</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分</w:t>
            </w:r>
          </w:p>
        </w:tc>
        <w:tc>
          <w:tcPr>
            <w:tcW w:w="1424" w:type="dxa"/>
          </w:tcPr>
          <w:p w14:paraId="0B6F96C1">
            <w:pPr>
              <w:widowControl/>
              <w:jc w:val="left"/>
              <w:rPr>
                <w:rFonts w:hint="eastAsia" w:ascii="宋体" w:hAnsi="宋体" w:cs="宋体"/>
                <w:b/>
                <w:bCs/>
                <w:color w:val="auto"/>
                <w:kern w:val="0"/>
                <w:sz w:val="24"/>
                <w:szCs w:val="24"/>
                <w:highlight w:val="none"/>
              </w:rPr>
            </w:pPr>
          </w:p>
        </w:tc>
      </w:tr>
      <w:tr w14:paraId="7DD5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6898BA64">
            <w:pPr>
              <w:pStyle w:val="20"/>
              <w:ind w:left="0"/>
              <w:rPr>
                <w:rFonts w:hint="eastAsia" w:ascii="宋体" w:hAnsi="宋体" w:cs="宋体"/>
                <w:color w:val="auto"/>
                <w:kern w:val="2"/>
                <w:sz w:val="24"/>
                <w:szCs w:val="24"/>
                <w:highlight w:val="none"/>
              </w:rPr>
            </w:pPr>
            <w:r>
              <w:rPr>
                <w:rFonts w:hint="eastAsia" w:ascii="宋体" w:hAnsi="宋体" w:cs="宋体"/>
                <w:color w:val="auto"/>
                <w:kern w:val="2"/>
                <w:sz w:val="24"/>
                <w:szCs w:val="24"/>
                <w:highlight w:val="none"/>
              </w:rPr>
              <w:t>5</w:t>
            </w:r>
          </w:p>
        </w:tc>
        <w:tc>
          <w:tcPr>
            <w:tcW w:w="981" w:type="dxa"/>
            <w:vMerge w:val="restart"/>
            <w:vAlign w:val="center"/>
          </w:tcPr>
          <w:p w14:paraId="728E8375">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其他服务情况</w:t>
            </w:r>
          </w:p>
        </w:tc>
        <w:tc>
          <w:tcPr>
            <w:tcW w:w="4984" w:type="dxa"/>
            <w:gridSpan w:val="4"/>
            <w:vAlign w:val="center"/>
          </w:tcPr>
          <w:p w14:paraId="79597CD8">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在履约过程中</w:t>
            </w:r>
            <w:r>
              <w:rPr>
                <w:rFonts w:hint="eastAsia" w:ascii="宋体" w:hAnsi="宋体" w:cs="宋体"/>
                <w:color w:val="auto"/>
                <w:kern w:val="0"/>
                <w:sz w:val="24"/>
                <w:szCs w:val="24"/>
                <w:highlight w:val="none"/>
                <w:lang w:eastAsia="zh-CN"/>
              </w:rPr>
              <w:t>，具</w:t>
            </w:r>
            <w:r>
              <w:rPr>
                <w:rFonts w:hint="eastAsia" w:ascii="宋体" w:hAnsi="宋体" w:cs="宋体"/>
                <w:color w:val="auto"/>
                <w:kern w:val="0"/>
                <w:sz w:val="24"/>
                <w:szCs w:val="24"/>
                <w:highlight w:val="none"/>
              </w:rPr>
              <w:t>有风险预判能力，</w:t>
            </w:r>
            <w:r>
              <w:rPr>
                <w:rFonts w:hint="eastAsia" w:ascii="宋体" w:hAnsi="宋体" w:cs="宋体"/>
                <w:color w:val="auto"/>
                <w:kern w:val="0"/>
                <w:sz w:val="24"/>
                <w:szCs w:val="24"/>
                <w:highlight w:val="none"/>
                <w:lang w:val="en-US" w:eastAsia="zh-CN"/>
              </w:rPr>
              <w:t>对遇到的问题</w:t>
            </w:r>
            <w:r>
              <w:rPr>
                <w:rFonts w:hint="eastAsia" w:ascii="宋体" w:hAnsi="宋体" w:cs="宋体"/>
                <w:color w:val="auto"/>
                <w:kern w:val="0"/>
                <w:sz w:val="24"/>
                <w:szCs w:val="24"/>
                <w:highlight w:val="none"/>
              </w:rPr>
              <w:t>积极提出并实施了科学的措施</w:t>
            </w:r>
            <w:r>
              <w:rPr>
                <w:rFonts w:hint="eastAsia" w:ascii="宋体" w:hAnsi="宋体" w:cs="宋体"/>
                <w:color w:val="auto"/>
                <w:kern w:val="0"/>
                <w:sz w:val="24"/>
                <w:szCs w:val="24"/>
                <w:highlight w:val="none"/>
                <w:lang w:val="en-US" w:eastAsia="zh-CN"/>
              </w:rPr>
              <w:t>和建议</w:t>
            </w:r>
            <w:r>
              <w:rPr>
                <w:rFonts w:hint="eastAsia" w:ascii="宋体" w:hAnsi="宋体" w:cs="宋体"/>
                <w:color w:val="auto"/>
                <w:kern w:val="0"/>
                <w:sz w:val="24"/>
                <w:szCs w:val="24"/>
                <w:highlight w:val="none"/>
              </w:rPr>
              <w:t>，保证了代理合同的有效实施</w:t>
            </w:r>
          </w:p>
        </w:tc>
        <w:tc>
          <w:tcPr>
            <w:tcW w:w="1468" w:type="dxa"/>
          </w:tcPr>
          <w:p w14:paraId="4F056E2F">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w:t>
            </w:r>
            <w:r>
              <w:rPr>
                <w:rFonts w:hint="eastAsia" w:ascii="宋体" w:hAnsi="宋体" w:cs="宋体"/>
                <w:color w:val="auto"/>
                <w:kern w:val="0"/>
                <w:sz w:val="24"/>
                <w:szCs w:val="24"/>
                <w:highlight w:val="none"/>
                <w:lang w:val="en-US" w:eastAsia="zh-CN"/>
              </w:rPr>
              <w:t>处</w:t>
            </w:r>
            <w:r>
              <w:rPr>
                <w:rFonts w:hint="eastAsia" w:ascii="宋体" w:hAnsi="宋体" w:cs="宋体"/>
                <w:color w:val="auto"/>
                <w:kern w:val="0"/>
                <w:sz w:val="24"/>
                <w:szCs w:val="24"/>
                <w:highlight w:val="none"/>
              </w:rPr>
              <w:t>不符扣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476A2EA1">
            <w:pPr>
              <w:widowControl/>
              <w:jc w:val="left"/>
              <w:rPr>
                <w:rFonts w:hint="eastAsia" w:ascii="宋体" w:hAnsi="宋体" w:cs="宋体"/>
                <w:color w:val="auto"/>
                <w:kern w:val="0"/>
                <w:sz w:val="24"/>
                <w:szCs w:val="24"/>
                <w:highlight w:val="none"/>
              </w:rPr>
            </w:pPr>
          </w:p>
        </w:tc>
      </w:tr>
      <w:tr w14:paraId="618D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7036B54A">
            <w:pPr>
              <w:pStyle w:val="20"/>
              <w:ind w:left="0"/>
              <w:rPr>
                <w:rFonts w:hint="eastAsia" w:ascii="宋体" w:hAnsi="宋体" w:cs="宋体"/>
                <w:color w:val="auto"/>
                <w:kern w:val="2"/>
                <w:sz w:val="24"/>
                <w:szCs w:val="24"/>
                <w:highlight w:val="none"/>
              </w:rPr>
            </w:pPr>
          </w:p>
        </w:tc>
        <w:tc>
          <w:tcPr>
            <w:tcW w:w="981" w:type="dxa"/>
            <w:vMerge w:val="continue"/>
            <w:vAlign w:val="center"/>
          </w:tcPr>
          <w:p w14:paraId="0BE2F6BB">
            <w:pPr>
              <w:pStyle w:val="20"/>
              <w:ind w:left="0"/>
              <w:rPr>
                <w:rFonts w:hint="eastAsia" w:ascii="宋体" w:hAnsi="宋体" w:cs="宋体"/>
                <w:color w:val="auto"/>
                <w:kern w:val="2"/>
                <w:sz w:val="24"/>
                <w:szCs w:val="24"/>
                <w:highlight w:val="none"/>
              </w:rPr>
            </w:pPr>
          </w:p>
        </w:tc>
        <w:tc>
          <w:tcPr>
            <w:tcW w:w="4984" w:type="dxa"/>
            <w:gridSpan w:val="4"/>
            <w:vAlign w:val="center"/>
          </w:tcPr>
          <w:p w14:paraId="79FD370A">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交流工作准备充分、内容全面、回答问题</w:t>
            </w:r>
            <w:r>
              <w:rPr>
                <w:rFonts w:hint="eastAsia" w:ascii="宋体" w:hAnsi="宋体" w:cs="宋体"/>
                <w:color w:val="auto"/>
                <w:kern w:val="0"/>
                <w:sz w:val="24"/>
                <w:szCs w:val="24"/>
                <w:highlight w:val="none"/>
                <w:lang w:val="en-US" w:eastAsia="zh-CN"/>
              </w:rPr>
              <w:t>积极</w:t>
            </w:r>
            <w:r>
              <w:rPr>
                <w:rFonts w:hint="eastAsia" w:ascii="宋体" w:hAnsi="宋体" w:cs="宋体"/>
                <w:color w:val="auto"/>
                <w:kern w:val="0"/>
                <w:sz w:val="24"/>
                <w:szCs w:val="24"/>
                <w:highlight w:val="none"/>
              </w:rPr>
              <w:t>准确</w:t>
            </w:r>
          </w:p>
        </w:tc>
        <w:tc>
          <w:tcPr>
            <w:tcW w:w="1468" w:type="dxa"/>
          </w:tcPr>
          <w:p w14:paraId="52E30CA4">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发现一次不符扣5分</w:t>
            </w:r>
          </w:p>
        </w:tc>
        <w:tc>
          <w:tcPr>
            <w:tcW w:w="1424" w:type="dxa"/>
          </w:tcPr>
          <w:p w14:paraId="2CA816E1">
            <w:pPr>
              <w:widowControl/>
              <w:jc w:val="left"/>
              <w:rPr>
                <w:rFonts w:hint="eastAsia" w:ascii="宋体" w:hAnsi="宋体" w:cs="宋体"/>
                <w:color w:val="auto"/>
                <w:kern w:val="0"/>
                <w:sz w:val="24"/>
                <w:szCs w:val="24"/>
                <w:highlight w:val="none"/>
              </w:rPr>
            </w:pPr>
          </w:p>
        </w:tc>
      </w:tr>
      <w:tr w14:paraId="697F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23F0CB2F">
            <w:pPr>
              <w:pStyle w:val="20"/>
              <w:ind w:left="0"/>
              <w:rPr>
                <w:rFonts w:hint="eastAsia" w:ascii="宋体" w:hAnsi="宋体" w:cs="宋体"/>
                <w:color w:val="auto"/>
                <w:kern w:val="2"/>
                <w:sz w:val="24"/>
                <w:szCs w:val="24"/>
                <w:highlight w:val="none"/>
              </w:rPr>
            </w:pPr>
          </w:p>
        </w:tc>
        <w:tc>
          <w:tcPr>
            <w:tcW w:w="981" w:type="dxa"/>
            <w:vMerge w:val="continue"/>
            <w:vAlign w:val="center"/>
          </w:tcPr>
          <w:p w14:paraId="7BF48252">
            <w:pPr>
              <w:pStyle w:val="20"/>
              <w:ind w:left="0"/>
              <w:rPr>
                <w:rFonts w:hint="eastAsia" w:ascii="宋体" w:hAnsi="宋体" w:cs="宋体"/>
                <w:color w:val="auto"/>
                <w:kern w:val="2"/>
                <w:sz w:val="24"/>
                <w:szCs w:val="24"/>
                <w:highlight w:val="none"/>
              </w:rPr>
            </w:pPr>
          </w:p>
        </w:tc>
        <w:tc>
          <w:tcPr>
            <w:tcW w:w="4984" w:type="dxa"/>
            <w:gridSpan w:val="4"/>
            <w:vAlign w:val="center"/>
          </w:tcPr>
          <w:p w14:paraId="2A4B1403">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档案递交/提供不及时</w:t>
            </w:r>
          </w:p>
        </w:tc>
        <w:tc>
          <w:tcPr>
            <w:tcW w:w="1468" w:type="dxa"/>
          </w:tcPr>
          <w:p w14:paraId="47BC8EF6">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发现一次扣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5015A016">
            <w:pPr>
              <w:widowControl/>
              <w:jc w:val="left"/>
              <w:rPr>
                <w:rFonts w:hint="eastAsia" w:ascii="宋体" w:hAnsi="宋体" w:cs="宋体"/>
                <w:color w:val="auto"/>
                <w:kern w:val="0"/>
                <w:sz w:val="24"/>
                <w:szCs w:val="24"/>
                <w:highlight w:val="none"/>
              </w:rPr>
            </w:pPr>
          </w:p>
        </w:tc>
      </w:tr>
      <w:tr w14:paraId="605A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1E349BC0">
            <w:pPr>
              <w:pStyle w:val="20"/>
              <w:ind w:left="0"/>
              <w:rPr>
                <w:rFonts w:hint="eastAsia" w:ascii="宋体" w:hAnsi="宋体" w:cs="宋体"/>
                <w:color w:val="auto"/>
                <w:kern w:val="2"/>
                <w:sz w:val="24"/>
                <w:szCs w:val="24"/>
                <w:highlight w:val="none"/>
              </w:rPr>
            </w:pPr>
          </w:p>
        </w:tc>
        <w:tc>
          <w:tcPr>
            <w:tcW w:w="981" w:type="dxa"/>
            <w:vMerge w:val="continue"/>
            <w:vAlign w:val="center"/>
          </w:tcPr>
          <w:p w14:paraId="56657248">
            <w:pPr>
              <w:pStyle w:val="20"/>
              <w:ind w:left="0"/>
              <w:rPr>
                <w:rFonts w:hint="eastAsia" w:ascii="宋体" w:hAnsi="宋体" w:cs="宋体"/>
                <w:color w:val="auto"/>
                <w:kern w:val="2"/>
                <w:sz w:val="24"/>
                <w:szCs w:val="24"/>
                <w:highlight w:val="none"/>
              </w:rPr>
            </w:pPr>
          </w:p>
        </w:tc>
        <w:tc>
          <w:tcPr>
            <w:tcW w:w="4984" w:type="dxa"/>
            <w:gridSpan w:val="4"/>
            <w:vAlign w:val="center"/>
          </w:tcPr>
          <w:p w14:paraId="131A30BC">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档案管理不规范（含监控资料）</w:t>
            </w:r>
          </w:p>
        </w:tc>
        <w:tc>
          <w:tcPr>
            <w:tcW w:w="1468" w:type="dxa"/>
          </w:tcPr>
          <w:p w14:paraId="1F6F973A">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w:t>
            </w:r>
            <w:r>
              <w:rPr>
                <w:rFonts w:hint="eastAsia" w:ascii="宋体" w:hAnsi="宋体" w:cs="宋体"/>
                <w:color w:val="auto"/>
                <w:kern w:val="0"/>
                <w:sz w:val="24"/>
                <w:szCs w:val="24"/>
                <w:highlight w:val="none"/>
                <w:lang w:val="en-US" w:eastAsia="zh-CN"/>
              </w:rPr>
              <w:t>处</w:t>
            </w:r>
            <w:r>
              <w:rPr>
                <w:rFonts w:hint="eastAsia" w:ascii="宋体" w:hAnsi="宋体" w:cs="宋体"/>
                <w:color w:val="auto"/>
                <w:kern w:val="0"/>
                <w:sz w:val="24"/>
                <w:szCs w:val="24"/>
                <w:highlight w:val="none"/>
              </w:rPr>
              <w:t>扣</w:t>
            </w:r>
            <w:r>
              <w:rPr>
                <w:rFonts w:hint="eastAsia" w:ascii="宋体" w:hAnsi="宋体" w:cs="宋体"/>
                <w:color w:val="auto"/>
                <w:kern w:val="0"/>
                <w:sz w:val="24"/>
                <w:szCs w:val="24"/>
                <w:highlight w:val="none"/>
                <w:lang w:val="en-US" w:eastAsia="zh-CN"/>
              </w:rPr>
              <w:t>20</w:t>
            </w:r>
            <w:r>
              <w:rPr>
                <w:rFonts w:hint="eastAsia" w:ascii="宋体" w:hAnsi="宋体" w:cs="宋体"/>
                <w:color w:val="auto"/>
                <w:kern w:val="0"/>
                <w:sz w:val="24"/>
                <w:szCs w:val="24"/>
                <w:highlight w:val="none"/>
              </w:rPr>
              <w:t>分</w:t>
            </w:r>
          </w:p>
        </w:tc>
        <w:tc>
          <w:tcPr>
            <w:tcW w:w="1424" w:type="dxa"/>
          </w:tcPr>
          <w:p w14:paraId="124AC3BE">
            <w:pPr>
              <w:widowControl/>
              <w:jc w:val="left"/>
              <w:rPr>
                <w:rFonts w:hint="eastAsia" w:ascii="宋体" w:hAnsi="宋体" w:cs="宋体"/>
                <w:color w:val="auto"/>
                <w:kern w:val="0"/>
                <w:sz w:val="24"/>
                <w:szCs w:val="24"/>
                <w:highlight w:val="none"/>
              </w:rPr>
            </w:pPr>
          </w:p>
        </w:tc>
      </w:tr>
      <w:tr w14:paraId="680E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7C201A7C">
            <w:pPr>
              <w:pStyle w:val="20"/>
              <w:ind w:left="0"/>
              <w:rPr>
                <w:rFonts w:hint="eastAsia" w:ascii="宋体" w:hAnsi="宋体" w:cs="宋体"/>
                <w:color w:val="auto"/>
                <w:kern w:val="2"/>
                <w:sz w:val="24"/>
                <w:szCs w:val="24"/>
                <w:highlight w:val="none"/>
              </w:rPr>
            </w:pPr>
          </w:p>
        </w:tc>
        <w:tc>
          <w:tcPr>
            <w:tcW w:w="981" w:type="dxa"/>
            <w:vMerge w:val="continue"/>
            <w:vAlign w:val="center"/>
          </w:tcPr>
          <w:p w14:paraId="72FFEE8E">
            <w:pPr>
              <w:pStyle w:val="20"/>
              <w:ind w:left="0"/>
              <w:rPr>
                <w:rFonts w:hint="eastAsia" w:ascii="宋体" w:hAnsi="宋体" w:cs="宋体"/>
                <w:color w:val="auto"/>
                <w:kern w:val="2"/>
                <w:sz w:val="24"/>
                <w:szCs w:val="24"/>
                <w:highlight w:val="none"/>
              </w:rPr>
            </w:pPr>
          </w:p>
        </w:tc>
        <w:tc>
          <w:tcPr>
            <w:tcW w:w="4984" w:type="dxa"/>
            <w:gridSpan w:val="4"/>
            <w:vAlign w:val="center"/>
          </w:tcPr>
          <w:p w14:paraId="4E996E31">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其他不符合遴选文件、响应文件或合同的情况</w:t>
            </w:r>
          </w:p>
        </w:tc>
        <w:tc>
          <w:tcPr>
            <w:tcW w:w="1468" w:type="dxa"/>
          </w:tcPr>
          <w:p w14:paraId="7D21345B">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发现一处扣</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分</w:t>
            </w:r>
          </w:p>
        </w:tc>
        <w:tc>
          <w:tcPr>
            <w:tcW w:w="1424" w:type="dxa"/>
          </w:tcPr>
          <w:p w14:paraId="408D2E47">
            <w:pPr>
              <w:widowControl/>
              <w:jc w:val="left"/>
              <w:rPr>
                <w:rFonts w:hint="eastAsia" w:ascii="宋体" w:hAnsi="宋体" w:cs="宋体"/>
                <w:color w:val="auto"/>
                <w:kern w:val="0"/>
                <w:sz w:val="24"/>
                <w:szCs w:val="24"/>
                <w:highlight w:val="none"/>
              </w:rPr>
            </w:pPr>
          </w:p>
        </w:tc>
      </w:tr>
      <w:tr w14:paraId="5BC0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66" w:type="dxa"/>
            <w:gridSpan w:val="8"/>
          </w:tcPr>
          <w:p w14:paraId="764CA60B">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备注：得分</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rPr>
              <w:t>0分及以上的为合格，</w:t>
            </w:r>
            <w:r>
              <w:rPr>
                <w:rFonts w:hint="eastAsia" w:ascii="宋体" w:hAnsi="宋体" w:cs="宋体"/>
                <w:color w:val="auto"/>
                <w:kern w:val="0"/>
                <w:sz w:val="24"/>
                <w:szCs w:val="24"/>
                <w:highlight w:val="none"/>
                <w:lang w:val="en-US" w:eastAsia="zh-CN"/>
              </w:rPr>
              <w:t>80-89分</w:t>
            </w:r>
            <w:r>
              <w:rPr>
                <w:rFonts w:hint="eastAsia" w:ascii="宋体" w:hAnsi="宋体" w:cs="宋体"/>
                <w:color w:val="auto"/>
                <w:kern w:val="0"/>
                <w:sz w:val="24"/>
                <w:szCs w:val="24"/>
                <w:highlight w:val="none"/>
              </w:rPr>
              <w:t>的为基本合格，</w:t>
            </w:r>
            <w:r>
              <w:rPr>
                <w:rFonts w:hint="eastAsia" w:ascii="宋体" w:hAnsi="宋体" w:cs="宋体"/>
                <w:color w:val="auto"/>
                <w:kern w:val="0"/>
                <w:sz w:val="24"/>
                <w:szCs w:val="24"/>
                <w:highlight w:val="none"/>
                <w:lang w:val="en-US" w:eastAsia="zh-CN"/>
              </w:rPr>
              <w:t>低于8</w:t>
            </w:r>
            <w:r>
              <w:rPr>
                <w:rFonts w:hint="eastAsia" w:ascii="宋体" w:hAnsi="宋体" w:cs="宋体"/>
                <w:color w:val="auto"/>
                <w:kern w:val="0"/>
                <w:sz w:val="24"/>
                <w:szCs w:val="24"/>
                <w:highlight w:val="none"/>
              </w:rPr>
              <w:t>0分的为不合格</w:t>
            </w:r>
          </w:p>
        </w:tc>
      </w:tr>
      <w:tr w14:paraId="1C2A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9566" w:type="dxa"/>
            <w:gridSpan w:val="8"/>
          </w:tcPr>
          <w:p w14:paraId="4068FA3B">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考核得分：</w:t>
            </w:r>
          </w:p>
        </w:tc>
      </w:tr>
      <w:tr w14:paraId="2F3E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8"/>
          </w:tcPr>
          <w:p w14:paraId="67ADCCA2">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考核等级：</w:t>
            </w:r>
          </w:p>
        </w:tc>
      </w:tr>
      <w:tr w14:paraId="2CBC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8"/>
          </w:tcPr>
          <w:p w14:paraId="520C6700">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考核科室经办人：</w:t>
            </w:r>
          </w:p>
        </w:tc>
      </w:tr>
      <w:tr w14:paraId="5AEAE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8"/>
          </w:tcPr>
          <w:p w14:paraId="7810E628">
            <w:pPr>
              <w:widowControl/>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考核科室负责人：</w:t>
            </w:r>
          </w:p>
        </w:tc>
      </w:tr>
      <w:tr w14:paraId="1623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566" w:type="dxa"/>
            <w:gridSpan w:val="8"/>
          </w:tcPr>
          <w:p w14:paraId="7C618EB8">
            <w:pPr>
              <w:widowControl/>
              <w:jc w:val="left"/>
              <w:rPr>
                <w:rFonts w:hint="default" w:ascii="宋体" w:hAnsi="宋体" w:eastAsia="微软雅黑" w:cs="宋体"/>
                <w:color w:val="auto"/>
                <w:kern w:val="0"/>
                <w:sz w:val="24"/>
                <w:szCs w:val="24"/>
                <w:highlight w:val="none"/>
                <w:lang w:val="en-US" w:eastAsia="zh-CN"/>
              </w:rPr>
            </w:pPr>
          </w:p>
        </w:tc>
      </w:tr>
    </w:tbl>
    <w:p w14:paraId="772FB0C9">
      <w:pPr>
        <w:autoSpaceDE w:val="0"/>
        <w:autoSpaceDN w:val="0"/>
        <w:adjustRightInd w:val="0"/>
        <w:snapToGrid w:val="0"/>
        <w:spacing w:line="520" w:lineRule="exact"/>
        <w:rPr>
          <w:rFonts w:hint="eastAsia" w:ascii="微软雅黑" w:hAnsi="微软雅黑" w:eastAsia="微软雅黑" w:cs="微软雅黑"/>
          <w:color w:val="auto"/>
          <w:sz w:val="24"/>
          <w:szCs w:val="24"/>
          <w:highlight w:val="none"/>
        </w:rPr>
      </w:pPr>
    </w:p>
    <w:p w14:paraId="51A70ADC">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38" w:name="_Toc6146"/>
      <w:bookmarkStart w:id="39" w:name="_Toc12231"/>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sz w:val="28"/>
          <w:szCs w:val="28"/>
          <w:highlight w:val="none"/>
        </w:rPr>
        <w:t>六、违约责任</w:t>
      </w:r>
      <w:bookmarkEnd w:id="38"/>
      <w:bookmarkEnd w:id="39"/>
    </w:p>
    <w:p w14:paraId="5F1753A5">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（一）采购代理机构被查证存在弄虚作假、提供不实资料等方式骗取中标的，采购人将解除其服务合同。</w:t>
      </w:r>
    </w:p>
    <w:p w14:paraId="3B15E447">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代理机构及其工作人员有违反国家有关法律法规行为的，采购人有权单方面终止服务合同，将采购代理机构纳入采购人采购代理黑名单，并通报有关部门，依照相关法律法规进行处理；涉嫌犯罪的，依法移交司法机关处理。采购代理机构的违法行为给他人造成损失的，应自行依法承担民事责任。</w:t>
      </w:r>
      <w:r>
        <w:rPr>
          <w:rFonts w:hint="eastAsia" w:ascii="微软雅黑" w:hAnsi="微软雅黑" w:eastAsia="微软雅黑" w:cs="微软雅黑"/>
          <w:color w:val="auto"/>
          <w:sz w:val="24"/>
          <w:szCs w:val="24"/>
          <w:highlight w:val="none"/>
        </w:rPr>
        <w:br w:type="textWrapping"/>
      </w:r>
      <w:r>
        <w:rPr>
          <w:rFonts w:hint="eastAsia" w:ascii="微软雅黑" w:hAnsi="微软雅黑" w:eastAsia="微软雅黑" w:cs="微软雅黑"/>
          <w:color w:val="auto"/>
          <w:sz w:val="24"/>
          <w:szCs w:val="24"/>
          <w:highlight w:val="none"/>
        </w:rPr>
        <w:t xml:space="preserve">    （三）采购代理机构存在《政府采购货物和服务招标投标管理办法》（财政部令第87号）第七十八条中所列明的违法行为情形之一的，采购人有权单方面终止服务合同，并将其违法行为通报有关部门，由有关部门责令限期整改，情节严重的，给予警告，对直接负责的主管人员和其他直接责任人员，由其行政主管部门或者有关机关给予处分，并</w:t>
      </w:r>
      <w:r>
        <w:rPr>
          <w:rFonts w:hint="eastAsia" w:ascii="微软雅黑" w:hAnsi="微软雅黑" w:eastAsia="微软雅黑" w:cs="微软雅黑"/>
          <w:color w:val="auto"/>
          <w:sz w:val="24"/>
          <w:szCs w:val="24"/>
          <w:highlight w:val="none"/>
          <w:lang w:eastAsia="zh-CN"/>
        </w:rPr>
        <w:t>予以</w:t>
      </w:r>
      <w:r>
        <w:rPr>
          <w:rFonts w:hint="eastAsia" w:ascii="微软雅黑" w:hAnsi="微软雅黑" w:eastAsia="微软雅黑" w:cs="微软雅黑"/>
          <w:color w:val="auto"/>
          <w:sz w:val="24"/>
          <w:szCs w:val="24"/>
          <w:highlight w:val="none"/>
        </w:rPr>
        <w:t>通报；采购代理机构有违法所得的，没收违法所得。</w:t>
      </w:r>
    </w:p>
    <w:p w14:paraId="7A0837AC">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（四）采购代理机构在采购代理过程中，如不按照本比选文件要求的服务内容、服务要求等提供采购代理服务，且经采购人书面通知要求整改而未整改的，采购人有权单方面终止服务合同。</w:t>
      </w:r>
    </w:p>
    <w:p w14:paraId="30F2B273">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采购代理机构不得因业务量大小、难易程度、地域远近而拒绝采购人委托的采购项目和工作内容，若无故不接受代理项目的，采购人有权单方面终止服务合同。在履约期内因故放弃代理服务累计达两次的，采购人有权单方面终止服务合同。</w:t>
      </w:r>
    </w:p>
    <w:p w14:paraId="3BC505F0">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（六）采购代理机构转包或未经采购人同意分包承接项目的，采购人将解除其服务合同。</w:t>
      </w:r>
    </w:p>
    <w:p w14:paraId="30A591B0">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（七）采购代理机构受到行政严重处罚或被司法机关认定存在商业贿赂等违法行为，采购人将解除其服务合同。</w:t>
      </w:r>
    </w:p>
    <w:p w14:paraId="6D68AF0C">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（八）如国家及本市相关法律法规发生变化或与现行法律法规有冲突，则按相关法律法规执行，采购人有权终止合同。</w:t>
      </w:r>
    </w:p>
    <w:p w14:paraId="3B5CA659">
      <w:pPr>
        <w:pStyle w:val="3"/>
        <w:adjustRightInd w:val="0"/>
        <w:snapToGrid w:val="0"/>
        <w:spacing w:line="520" w:lineRule="exact"/>
        <w:rPr>
          <w:rFonts w:hint="eastAsia" w:ascii="微软雅黑" w:hAnsi="微软雅黑" w:eastAsia="微软雅黑" w:cs="微软雅黑"/>
          <w:color w:val="auto"/>
          <w:sz w:val="28"/>
          <w:szCs w:val="28"/>
          <w:highlight w:val="none"/>
        </w:rPr>
      </w:pPr>
      <w:bookmarkStart w:id="40" w:name="_Toc10018"/>
      <w:bookmarkStart w:id="41" w:name="_Toc16824"/>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sz w:val="28"/>
          <w:szCs w:val="28"/>
          <w:highlight w:val="none"/>
        </w:rPr>
        <w:t>七、</w:t>
      </w:r>
      <w:bookmarkStart w:id="42" w:name="_Toc448308270"/>
      <w:bookmarkStart w:id="43" w:name="_Toc464133372"/>
      <w:bookmarkStart w:id="44" w:name="_Toc444601165"/>
      <w:r>
        <w:rPr>
          <w:rFonts w:hint="eastAsia" w:ascii="微软雅黑" w:hAnsi="微软雅黑" w:eastAsia="微软雅黑" w:cs="微软雅黑"/>
          <w:color w:val="auto"/>
          <w:sz w:val="28"/>
          <w:szCs w:val="28"/>
          <w:highlight w:val="none"/>
        </w:rPr>
        <w:t>其他</w:t>
      </w:r>
      <w:bookmarkEnd w:id="40"/>
      <w:bookmarkEnd w:id="41"/>
      <w:bookmarkEnd w:id="42"/>
      <w:bookmarkEnd w:id="43"/>
      <w:bookmarkEnd w:id="44"/>
    </w:p>
    <w:p w14:paraId="54A4A8C9">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（一）代理机构必须在响应文件中对以上条款和服务承诺明确列出，承诺内容必须达到本篇及比选文件其他条款的要求。</w:t>
      </w:r>
    </w:p>
    <w:p w14:paraId="49244D7A">
      <w:pPr>
        <w:autoSpaceDE w:val="0"/>
        <w:autoSpaceDN w:val="0"/>
        <w:adjustRightInd w:val="0"/>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（二）其他未尽事宜由供需双方再另行约定。</w:t>
      </w:r>
      <w:bookmarkEnd w:id="34"/>
    </w:p>
    <w:p w14:paraId="3386869B">
      <w:pPr>
        <w:autoSpaceDE w:val="0"/>
        <w:autoSpaceDN w:val="0"/>
        <w:adjustRightInd w:val="0"/>
        <w:snapToGrid w:val="0"/>
        <w:spacing w:line="520" w:lineRule="exact"/>
        <w:rPr>
          <w:rFonts w:hint="eastAsia" w:ascii="微软雅黑" w:hAnsi="微软雅黑" w:eastAsia="微软雅黑" w:cs="微软雅黑"/>
          <w:color w:val="auto"/>
          <w:sz w:val="24"/>
          <w:szCs w:val="24"/>
          <w:highlight w:val="none"/>
        </w:rPr>
        <w:sectPr>
          <w:headerReference r:id="rId9" w:type="first"/>
          <w:headerReference r:id="rId8" w:type="default"/>
          <w:pgSz w:w="11906" w:h="16838"/>
          <w:pgMar w:top="1985" w:right="1474" w:bottom="1701" w:left="1588" w:header="851" w:footer="1179" w:gutter="0"/>
          <w:cols w:space="720" w:num="1"/>
          <w:titlePg/>
          <w:docGrid w:linePitch="396" w:charSpace="-1260"/>
        </w:sectPr>
      </w:pPr>
    </w:p>
    <w:bookmarkEnd w:id="26"/>
    <w:p w14:paraId="33DDD7CF">
      <w:pPr>
        <w:pStyle w:val="2"/>
        <w:spacing w:line="360" w:lineRule="auto"/>
        <w:jc w:val="center"/>
        <w:rPr>
          <w:rFonts w:hint="eastAsia" w:ascii="微软雅黑" w:hAnsi="微软雅黑" w:eastAsia="微软雅黑" w:cs="微软雅黑"/>
          <w:b w:val="0"/>
          <w:color w:val="auto"/>
          <w:sz w:val="36"/>
          <w:szCs w:val="30"/>
          <w:highlight w:val="none"/>
        </w:rPr>
      </w:pPr>
      <w:bookmarkStart w:id="45" w:name="_Toc26745"/>
      <w:r>
        <w:rPr>
          <w:rFonts w:hint="eastAsia" w:ascii="微软雅黑" w:hAnsi="微软雅黑" w:eastAsia="微软雅黑" w:cs="微软雅黑"/>
          <w:b w:val="0"/>
          <w:color w:val="auto"/>
          <w:sz w:val="36"/>
          <w:szCs w:val="30"/>
          <w:highlight w:val="none"/>
        </w:rPr>
        <w:t>第三篇  竞选程序及方法、评审标准、无效响应和</w:t>
      </w:r>
      <w:r>
        <w:rPr>
          <w:rFonts w:hint="eastAsia" w:ascii="微软雅黑" w:hAnsi="微软雅黑" w:eastAsia="微软雅黑" w:cs="微软雅黑"/>
          <w:b w:val="0"/>
          <w:color w:val="auto"/>
          <w:sz w:val="36"/>
          <w:szCs w:val="36"/>
          <w:highlight w:val="none"/>
        </w:rPr>
        <w:t>采购终止</w:t>
      </w:r>
      <w:bookmarkEnd w:id="45"/>
    </w:p>
    <w:p w14:paraId="6EF5C859">
      <w:pPr>
        <w:pStyle w:val="3"/>
        <w:spacing w:line="440" w:lineRule="exact"/>
        <w:rPr>
          <w:rFonts w:hint="eastAsia" w:ascii="微软雅黑" w:hAnsi="微软雅黑" w:eastAsia="微软雅黑" w:cs="微软雅黑"/>
          <w:color w:val="auto"/>
          <w:sz w:val="24"/>
          <w:szCs w:val="24"/>
          <w:highlight w:val="none"/>
        </w:rPr>
      </w:pPr>
      <w:bookmarkStart w:id="46" w:name="_Toc3953"/>
      <w:r>
        <w:rPr>
          <w:rFonts w:hint="eastAsia" w:ascii="微软雅黑" w:hAnsi="微软雅黑" w:eastAsia="微软雅黑" w:cs="微软雅黑"/>
          <w:color w:val="auto"/>
          <w:sz w:val="24"/>
          <w:szCs w:val="24"/>
          <w:highlight w:val="none"/>
        </w:rPr>
        <w:t>一、竞选程序及方法</w:t>
      </w:r>
      <w:bookmarkEnd w:id="46"/>
    </w:p>
    <w:p w14:paraId="50F524C9">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（一）竞选按竞争性比选文件规定的时间和地点进行，采购代理机构须有法定代表人或负责人（或其授权代表）参加并签到。</w:t>
      </w:r>
    </w:p>
    <w:p w14:paraId="2BC0431D">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（二）比选小组对各采购代理机构的资格条件、比选响应文件的有效性、完整性和响应程度进行审查。各采购代理机构只有在完全符合要求的前提下，才能参与正式比选。</w:t>
      </w:r>
    </w:p>
    <w:p w14:paraId="534DA1DA">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sz w:val="24"/>
          <w:szCs w:val="24"/>
          <w:highlight w:val="none"/>
          <w:lang w:eastAsia="zh-CN"/>
        </w:rPr>
        <w:t>1.</w:t>
      </w:r>
      <w:r>
        <w:rPr>
          <w:rFonts w:hint="eastAsia" w:ascii="微软雅黑" w:hAnsi="微软雅黑" w:eastAsia="微软雅黑" w:cs="微软雅黑"/>
          <w:color w:val="auto"/>
          <w:kern w:val="0"/>
          <w:sz w:val="24"/>
          <w:szCs w:val="24"/>
          <w:highlight w:val="none"/>
        </w:rPr>
        <w:t>资格性审查。依据法律法规和竞争性比选文件的规定，对比选响应文件中的资格证明等进行审查，以确定采购代理机构是否具备比选资格。资格性审查资料表如下：</w:t>
      </w:r>
    </w:p>
    <w:tbl>
      <w:tblPr>
        <w:tblStyle w:val="15"/>
        <w:tblW w:w="0" w:type="auto"/>
        <w:tblInd w:w="-2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709"/>
        <w:gridCol w:w="3689"/>
        <w:gridCol w:w="4413"/>
      </w:tblGrid>
      <w:tr w14:paraId="4E77C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Align w:val="center"/>
          </w:tcPr>
          <w:p w14:paraId="10B8EEA1">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序号</w:t>
            </w:r>
          </w:p>
        </w:tc>
        <w:tc>
          <w:tcPr>
            <w:tcW w:w="4398" w:type="dxa"/>
            <w:gridSpan w:val="2"/>
            <w:vAlign w:val="center"/>
          </w:tcPr>
          <w:p w14:paraId="7F06F904">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检查因素</w:t>
            </w:r>
          </w:p>
        </w:tc>
        <w:tc>
          <w:tcPr>
            <w:tcW w:w="4413" w:type="dxa"/>
            <w:vAlign w:val="center"/>
          </w:tcPr>
          <w:p w14:paraId="40623D1C">
            <w:pPr>
              <w:jc w:val="center"/>
              <w:rPr>
                <w:rFonts w:hint="eastAsia" w:ascii="微软雅黑" w:hAnsi="微软雅黑" w:eastAsia="微软雅黑"/>
                <w:b/>
                <w:color w:val="auto"/>
                <w:kern w:val="0"/>
                <w:sz w:val="21"/>
                <w:szCs w:val="21"/>
                <w:highlight w:val="none"/>
              </w:rPr>
            </w:pPr>
            <w:r>
              <w:rPr>
                <w:rFonts w:hint="eastAsia" w:ascii="微软雅黑" w:hAnsi="微软雅黑" w:eastAsia="微软雅黑"/>
                <w:b/>
                <w:color w:val="auto"/>
                <w:kern w:val="0"/>
                <w:sz w:val="21"/>
                <w:szCs w:val="21"/>
                <w:highlight w:val="none"/>
              </w:rPr>
              <w:t>检查内容</w:t>
            </w:r>
          </w:p>
        </w:tc>
      </w:tr>
      <w:tr w14:paraId="4425C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restart"/>
            <w:vAlign w:val="center"/>
          </w:tcPr>
          <w:p w14:paraId="3CA9B8F5">
            <w:pPr>
              <w:jc w:val="cente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（一）</w:t>
            </w:r>
          </w:p>
        </w:tc>
        <w:tc>
          <w:tcPr>
            <w:tcW w:w="709" w:type="dxa"/>
            <w:vMerge w:val="restart"/>
            <w:vAlign w:val="center"/>
          </w:tcPr>
          <w:p w14:paraId="58B6C6BA">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《中华人民共和国政府采购法》第二十二条规定</w:t>
            </w:r>
          </w:p>
        </w:tc>
        <w:tc>
          <w:tcPr>
            <w:tcW w:w="3689" w:type="dxa"/>
            <w:vAlign w:val="center"/>
          </w:tcPr>
          <w:p w14:paraId="0EE34F21">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1.具有独立承担民事责任的能力</w:t>
            </w:r>
          </w:p>
        </w:tc>
        <w:tc>
          <w:tcPr>
            <w:tcW w:w="4413" w:type="dxa"/>
            <w:vAlign w:val="center"/>
          </w:tcPr>
          <w:p w14:paraId="7D336152">
            <w:pP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 xml:space="preserve">1.供应商法人营业执照（副本）（提供复印件）。 </w:t>
            </w:r>
          </w:p>
          <w:p w14:paraId="7B77502B">
            <w:pP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2.供应商法定代表人及授权代表的身份证明和法定代表人授权委托书（若由法定代表人签署响应文件的，则无需提供授权委托书）。</w:t>
            </w:r>
          </w:p>
          <w:p w14:paraId="20A6E1E4">
            <w:pPr>
              <w:rPr>
                <w:rFonts w:hint="eastAsia" w:ascii="微软雅黑" w:hAnsi="微软雅黑" w:eastAsia="微软雅黑"/>
                <w:color w:val="auto"/>
                <w:sz w:val="21"/>
                <w:szCs w:val="21"/>
                <w:highlight w:val="none"/>
              </w:rPr>
            </w:pPr>
            <w:r>
              <w:rPr>
                <w:rFonts w:hint="eastAsia" w:ascii="微软雅黑" w:hAnsi="微软雅黑" w:eastAsia="微软雅黑" w:cs="微软雅黑"/>
                <w:bCs/>
                <w:color w:val="auto"/>
                <w:kern w:val="0"/>
                <w:sz w:val="21"/>
                <w:szCs w:val="21"/>
                <w:highlight w:val="none"/>
              </w:rPr>
              <w:t>3.供应商法定代表人、授权代表（若有）、项目负责人及团队其他人员开标截止日当月前3个月中任意一个月加盖社保局公章或电子章的社保证明，同时加盖投标人公章</w:t>
            </w:r>
            <w:r>
              <w:rPr>
                <w:rFonts w:hint="eastAsia" w:ascii="宋体" w:hAnsi="宋体" w:eastAsia="宋体" w:cs="宋体"/>
                <w:b/>
                <w:bCs/>
                <w:kern w:val="0"/>
                <w:sz w:val="22"/>
                <w:szCs w:val="22"/>
                <w:highlight w:val="none"/>
              </w:rPr>
              <w:t>（注：授权代表的社保缴费单位须为供应商；法定代表人退休或未缴纳社保，按采购文件第</w:t>
            </w:r>
            <w:r>
              <w:rPr>
                <w:rFonts w:hint="eastAsia" w:ascii="宋体" w:hAnsi="宋体" w:eastAsia="宋体" w:cs="宋体"/>
                <w:b/>
                <w:bCs/>
                <w:kern w:val="0"/>
                <w:sz w:val="22"/>
                <w:szCs w:val="22"/>
                <w:highlight w:val="none"/>
                <w:lang w:val="en-US" w:eastAsia="zh-CN"/>
              </w:rPr>
              <w:t>五</w:t>
            </w:r>
            <w:r>
              <w:rPr>
                <w:rFonts w:hint="eastAsia" w:ascii="宋体" w:hAnsi="宋体" w:eastAsia="宋体" w:cs="宋体"/>
                <w:b/>
                <w:bCs/>
                <w:kern w:val="0"/>
                <w:sz w:val="22"/>
                <w:szCs w:val="22"/>
                <w:highlight w:val="none"/>
              </w:rPr>
              <w:t>篇的“</w:t>
            </w:r>
            <w:r>
              <w:rPr>
                <w:rFonts w:hint="eastAsia" w:ascii="宋体" w:hAnsi="宋体" w:eastAsia="宋体" w:cs="宋体"/>
                <w:b/>
                <w:bCs/>
                <w:kern w:val="0"/>
                <w:sz w:val="22"/>
                <w:szCs w:val="22"/>
                <w:highlight w:val="none"/>
                <w:lang w:val="en-US" w:eastAsia="zh-CN"/>
              </w:rPr>
              <w:t>四</w:t>
            </w:r>
            <w:r>
              <w:rPr>
                <w:rFonts w:hint="eastAsia" w:ascii="宋体" w:hAnsi="宋体" w:eastAsia="宋体" w:cs="宋体"/>
                <w:b/>
                <w:bCs/>
                <w:kern w:val="0"/>
                <w:sz w:val="22"/>
                <w:szCs w:val="22"/>
                <w:highlight w:val="none"/>
              </w:rPr>
              <w:t>、资格条件及其他”的“法定代表人未缴纳社保情况说明（格式）”填写须提供情况说明或相关证明材料</w:t>
            </w:r>
            <w:r>
              <w:rPr>
                <w:rFonts w:hint="eastAsia" w:ascii="宋体" w:hAnsi="宋体" w:eastAsia="宋体" w:cs="宋体"/>
                <w:b/>
                <w:bCs/>
                <w:kern w:val="0"/>
                <w:sz w:val="22"/>
                <w:szCs w:val="22"/>
                <w:highlight w:val="none"/>
                <w:lang w:eastAsia="zh-CN"/>
              </w:rPr>
              <w:t>；</w:t>
            </w:r>
            <w:r>
              <w:rPr>
                <w:rFonts w:hint="eastAsia" w:ascii="宋体" w:hAnsi="宋体" w:eastAsia="宋体" w:cs="宋体"/>
                <w:b/>
                <w:bCs/>
                <w:kern w:val="0"/>
                <w:sz w:val="22"/>
                <w:szCs w:val="22"/>
                <w:highlight w:val="none"/>
              </w:rPr>
              <w:t>法定代表人缴纳社保在其他单位的，须提供在其他单位参保的社保证明材料），若法定代表人直接参加投标的，则无需提供授权代表的社保证明。</w:t>
            </w:r>
          </w:p>
        </w:tc>
      </w:tr>
      <w:tr w14:paraId="5FFD5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14:paraId="21C66820">
            <w:pPr>
              <w:jc w:val="center"/>
              <w:rPr>
                <w:rFonts w:hint="eastAsia" w:ascii="微软雅黑" w:hAnsi="微软雅黑" w:eastAsia="微软雅黑"/>
                <w:color w:val="auto"/>
                <w:sz w:val="21"/>
                <w:szCs w:val="21"/>
                <w:highlight w:val="none"/>
              </w:rPr>
            </w:pPr>
          </w:p>
        </w:tc>
        <w:tc>
          <w:tcPr>
            <w:tcW w:w="709" w:type="dxa"/>
            <w:vMerge w:val="continue"/>
            <w:vAlign w:val="center"/>
          </w:tcPr>
          <w:p w14:paraId="01A0BDC8">
            <w:pPr>
              <w:rPr>
                <w:rFonts w:hint="eastAsia" w:ascii="微软雅黑" w:hAnsi="微软雅黑" w:eastAsia="微软雅黑"/>
                <w:color w:val="auto"/>
                <w:sz w:val="21"/>
                <w:szCs w:val="21"/>
                <w:highlight w:val="none"/>
                <w:lang w:val="zh-CN"/>
              </w:rPr>
            </w:pPr>
          </w:p>
        </w:tc>
        <w:tc>
          <w:tcPr>
            <w:tcW w:w="3689" w:type="dxa"/>
            <w:vAlign w:val="center"/>
          </w:tcPr>
          <w:p w14:paraId="5FE476EF">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2.</w:t>
            </w:r>
            <w:r>
              <w:rPr>
                <w:rFonts w:hint="eastAsia" w:ascii="微软雅黑" w:hAnsi="微软雅黑" w:eastAsia="微软雅黑"/>
                <w:color w:val="auto"/>
                <w:sz w:val="21"/>
                <w:szCs w:val="21"/>
                <w:highlight w:val="none"/>
              </w:rPr>
              <w:t>具有良好的商业信誉和健全的财务会计制度</w:t>
            </w:r>
          </w:p>
        </w:tc>
        <w:tc>
          <w:tcPr>
            <w:tcW w:w="4413" w:type="dxa"/>
            <w:vMerge w:val="restart"/>
            <w:vAlign w:val="center"/>
          </w:tcPr>
          <w:p w14:paraId="6B84C43C">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提供“基本资格条件承诺函”</w:t>
            </w:r>
            <w:r>
              <w:rPr>
                <w:rFonts w:hint="eastAsia" w:ascii="宋体" w:hAnsi="宋体" w:cs="宋体"/>
                <w:color w:val="auto"/>
                <w:sz w:val="21"/>
                <w:szCs w:val="21"/>
                <w:highlight w:val="none"/>
                <w:lang w:val="zh-CN"/>
              </w:rPr>
              <w:t>（见格式文件）</w:t>
            </w:r>
          </w:p>
        </w:tc>
      </w:tr>
      <w:tr w14:paraId="4B728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14:paraId="109E2544">
            <w:pPr>
              <w:jc w:val="center"/>
              <w:rPr>
                <w:rFonts w:hint="eastAsia" w:ascii="微软雅黑" w:hAnsi="微软雅黑" w:eastAsia="微软雅黑"/>
                <w:color w:val="auto"/>
                <w:sz w:val="21"/>
                <w:szCs w:val="21"/>
                <w:highlight w:val="none"/>
              </w:rPr>
            </w:pPr>
          </w:p>
        </w:tc>
        <w:tc>
          <w:tcPr>
            <w:tcW w:w="709" w:type="dxa"/>
            <w:vMerge w:val="continue"/>
            <w:vAlign w:val="center"/>
          </w:tcPr>
          <w:p w14:paraId="2F707404">
            <w:pPr>
              <w:rPr>
                <w:rFonts w:hint="eastAsia" w:ascii="微软雅黑" w:hAnsi="微软雅黑" w:eastAsia="微软雅黑"/>
                <w:color w:val="auto"/>
                <w:sz w:val="21"/>
                <w:szCs w:val="21"/>
                <w:highlight w:val="none"/>
                <w:lang w:val="zh-CN"/>
              </w:rPr>
            </w:pPr>
          </w:p>
        </w:tc>
        <w:tc>
          <w:tcPr>
            <w:tcW w:w="3689" w:type="dxa"/>
            <w:vAlign w:val="center"/>
          </w:tcPr>
          <w:p w14:paraId="5D0AFC7E">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3.具有履行合同所必需的设备和专业技术能力</w:t>
            </w:r>
          </w:p>
        </w:tc>
        <w:tc>
          <w:tcPr>
            <w:tcW w:w="4413" w:type="dxa"/>
            <w:vMerge w:val="continue"/>
            <w:vAlign w:val="center"/>
          </w:tcPr>
          <w:p w14:paraId="7FB517A7">
            <w:pPr>
              <w:rPr>
                <w:rFonts w:hint="eastAsia" w:ascii="微软雅黑" w:hAnsi="微软雅黑" w:eastAsia="微软雅黑"/>
                <w:color w:val="auto"/>
                <w:sz w:val="21"/>
                <w:szCs w:val="21"/>
                <w:highlight w:val="none"/>
              </w:rPr>
            </w:pPr>
          </w:p>
        </w:tc>
      </w:tr>
      <w:tr w14:paraId="244C4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14:paraId="002CEA31">
            <w:pPr>
              <w:jc w:val="center"/>
              <w:rPr>
                <w:rFonts w:hint="eastAsia" w:ascii="微软雅黑" w:hAnsi="微软雅黑" w:eastAsia="微软雅黑"/>
                <w:color w:val="auto"/>
                <w:sz w:val="21"/>
                <w:szCs w:val="21"/>
                <w:highlight w:val="none"/>
              </w:rPr>
            </w:pPr>
          </w:p>
        </w:tc>
        <w:tc>
          <w:tcPr>
            <w:tcW w:w="709" w:type="dxa"/>
            <w:vMerge w:val="continue"/>
            <w:vAlign w:val="center"/>
          </w:tcPr>
          <w:p w14:paraId="723ED4CB">
            <w:pPr>
              <w:rPr>
                <w:rFonts w:hint="eastAsia" w:ascii="微软雅黑" w:hAnsi="微软雅黑" w:eastAsia="微软雅黑"/>
                <w:color w:val="auto"/>
                <w:sz w:val="21"/>
                <w:szCs w:val="21"/>
                <w:highlight w:val="none"/>
                <w:lang w:val="zh-CN"/>
              </w:rPr>
            </w:pPr>
          </w:p>
        </w:tc>
        <w:tc>
          <w:tcPr>
            <w:tcW w:w="3689" w:type="dxa"/>
            <w:vAlign w:val="center"/>
          </w:tcPr>
          <w:p w14:paraId="162EC757">
            <w:pPr>
              <w:rPr>
                <w:rFonts w:hint="eastAsia" w:ascii="微软雅黑" w:hAnsi="微软雅黑" w:eastAsia="微软雅黑"/>
                <w:color w:val="auto"/>
                <w:sz w:val="21"/>
                <w:szCs w:val="21"/>
                <w:highlight w:val="none"/>
                <w:lang w:val="zh-CN"/>
              </w:rPr>
            </w:pPr>
            <w:r>
              <w:rPr>
                <w:rFonts w:hint="eastAsia" w:ascii="微软雅黑" w:hAnsi="微软雅黑" w:eastAsia="微软雅黑"/>
                <w:color w:val="auto"/>
                <w:sz w:val="21"/>
                <w:szCs w:val="21"/>
                <w:highlight w:val="none"/>
                <w:lang w:val="zh-CN"/>
              </w:rPr>
              <w:t>4.有依法缴纳税收和社会保障金的良好记录</w:t>
            </w:r>
          </w:p>
        </w:tc>
        <w:tc>
          <w:tcPr>
            <w:tcW w:w="4413" w:type="dxa"/>
            <w:vMerge w:val="continue"/>
            <w:vAlign w:val="center"/>
          </w:tcPr>
          <w:p w14:paraId="17A9FD3E">
            <w:pPr>
              <w:rPr>
                <w:rFonts w:hint="eastAsia" w:ascii="微软雅黑" w:hAnsi="微软雅黑" w:eastAsia="微软雅黑"/>
                <w:color w:val="auto"/>
                <w:sz w:val="21"/>
                <w:szCs w:val="21"/>
                <w:highlight w:val="none"/>
              </w:rPr>
            </w:pPr>
          </w:p>
        </w:tc>
      </w:tr>
      <w:tr w14:paraId="7C607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vMerge w:val="continue"/>
            <w:vAlign w:val="center"/>
          </w:tcPr>
          <w:p w14:paraId="58D815A5">
            <w:pPr>
              <w:jc w:val="center"/>
              <w:rPr>
                <w:rFonts w:hint="eastAsia" w:ascii="微软雅黑" w:hAnsi="微软雅黑" w:eastAsia="微软雅黑"/>
                <w:color w:val="auto"/>
                <w:sz w:val="21"/>
                <w:szCs w:val="21"/>
                <w:highlight w:val="none"/>
              </w:rPr>
            </w:pPr>
          </w:p>
        </w:tc>
        <w:tc>
          <w:tcPr>
            <w:tcW w:w="709" w:type="dxa"/>
            <w:vMerge w:val="continue"/>
            <w:vAlign w:val="center"/>
          </w:tcPr>
          <w:p w14:paraId="54BC1FAE">
            <w:pPr>
              <w:rPr>
                <w:rFonts w:hint="eastAsia" w:ascii="微软雅黑" w:hAnsi="微软雅黑" w:eastAsia="微软雅黑"/>
                <w:color w:val="auto"/>
                <w:sz w:val="21"/>
                <w:szCs w:val="21"/>
                <w:highlight w:val="none"/>
                <w:lang w:val="zh-CN"/>
              </w:rPr>
            </w:pPr>
          </w:p>
        </w:tc>
        <w:tc>
          <w:tcPr>
            <w:tcW w:w="3689" w:type="dxa"/>
            <w:vAlign w:val="center"/>
          </w:tcPr>
          <w:p w14:paraId="6E83A73A">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5.参加政府采购活动前三年内，在经营活动中没有重大违法记录</w:t>
            </w:r>
          </w:p>
        </w:tc>
        <w:tc>
          <w:tcPr>
            <w:tcW w:w="4413" w:type="dxa"/>
            <w:vMerge w:val="continue"/>
            <w:vAlign w:val="center"/>
          </w:tcPr>
          <w:p w14:paraId="0C2034A9">
            <w:pPr>
              <w:rPr>
                <w:rFonts w:hint="eastAsia" w:ascii="微软雅黑" w:hAnsi="微软雅黑" w:eastAsia="微软雅黑"/>
                <w:b/>
                <w:color w:val="auto"/>
                <w:sz w:val="21"/>
                <w:szCs w:val="21"/>
                <w:highlight w:val="none"/>
              </w:rPr>
            </w:pPr>
          </w:p>
        </w:tc>
      </w:tr>
      <w:tr w14:paraId="07033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trPr>
        <w:tc>
          <w:tcPr>
            <w:tcW w:w="817" w:type="dxa"/>
            <w:vMerge w:val="continue"/>
            <w:vAlign w:val="center"/>
          </w:tcPr>
          <w:p w14:paraId="3EF43F67">
            <w:pPr>
              <w:jc w:val="center"/>
              <w:rPr>
                <w:rFonts w:hint="eastAsia" w:ascii="微软雅黑" w:hAnsi="微软雅黑" w:eastAsia="微软雅黑"/>
                <w:color w:val="auto"/>
                <w:sz w:val="21"/>
                <w:szCs w:val="21"/>
                <w:highlight w:val="none"/>
              </w:rPr>
            </w:pPr>
          </w:p>
        </w:tc>
        <w:tc>
          <w:tcPr>
            <w:tcW w:w="709" w:type="dxa"/>
            <w:vMerge w:val="continue"/>
            <w:vAlign w:val="center"/>
          </w:tcPr>
          <w:p w14:paraId="4853F9E8">
            <w:pPr>
              <w:rPr>
                <w:rFonts w:hint="eastAsia" w:ascii="微软雅黑" w:hAnsi="微软雅黑" w:eastAsia="微软雅黑"/>
                <w:color w:val="auto"/>
                <w:sz w:val="21"/>
                <w:szCs w:val="21"/>
                <w:highlight w:val="none"/>
              </w:rPr>
            </w:pPr>
          </w:p>
        </w:tc>
        <w:tc>
          <w:tcPr>
            <w:tcW w:w="3689" w:type="dxa"/>
            <w:vAlign w:val="center"/>
          </w:tcPr>
          <w:p w14:paraId="4341FCAD">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6.法律、行政法规规定的其他条件</w:t>
            </w:r>
          </w:p>
        </w:tc>
        <w:tc>
          <w:tcPr>
            <w:tcW w:w="4413" w:type="dxa"/>
            <w:vAlign w:val="center"/>
          </w:tcPr>
          <w:p w14:paraId="26CEBA0F">
            <w:pPr>
              <w:rPr>
                <w:rFonts w:hint="eastAsia" w:ascii="微软雅黑" w:hAnsi="微软雅黑" w:eastAsia="微软雅黑"/>
                <w:color w:val="auto"/>
                <w:sz w:val="21"/>
                <w:szCs w:val="21"/>
                <w:highlight w:val="none"/>
              </w:rPr>
            </w:pPr>
          </w:p>
        </w:tc>
      </w:tr>
      <w:tr w14:paraId="0254D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trPr>
        <w:tc>
          <w:tcPr>
            <w:tcW w:w="817" w:type="dxa"/>
            <w:vAlign w:val="center"/>
          </w:tcPr>
          <w:p w14:paraId="2E7A2D91">
            <w:pPr>
              <w:jc w:val="cente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（二）</w:t>
            </w:r>
          </w:p>
        </w:tc>
        <w:tc>
          <w:tcPr>
            <w:tcW w:w="4398" w:type="dxa"/>
            <w:gridSpan w:val="2"/>
            <w:vAlign w:val="center"/>
          </w:tcPr>
          <w:p w14:paraId="493D0B08">
            <w:pPr>
              <w:rPr>
                <w:rFonts w:hint="eastAsia" w:ascii="微软雅黑" w:hAnsi="微软雅黑" w:eastAsia="微软雅黑"/>
                <w:color w:val="auto"/>
                <w:sz w:val="21"/>
                <w:szCs w:val="21"/>
                <w:highlight w:val="none"/>
              </w:rPr>
            </w:pPr>
            <w:r>
              <w:rPr>
                <w:rFonts w:hint="eastAsia" w:ascii="微软雅黑" w:hAnsi="微软雅黑" w:eastAsia="微软雅黑"/>
                <w:color w:val="auto"/>
                <w:sz w:val="21"/>
                <w:szCs w:val="21"/>
                <w:highlight w:val="none"/>
              </w:rPr>
              <w:t>本项目的特定资格要求</w:t>
            </w:r>
          </w:p>
        </w:tc>
        <w:tc>
          <w:tcPr>
            <w:tcW w:w="4413" w:type="dxa"/>
            <w:vAlign w:val="center"/>
          </w:tcPr>
          <w:p w14:paraId="267B83DC">
            <w:pPr>
              <w:rPr>
                <w:rFonts w:hint="eastAsia" w:ascii="微软雅黑" w:hAnsi="微软雅黑" w:eastAsia="微软雅黑"/>
                <w:color w:val="auto"/>
                <w:sz w:val="21"/>
                <w:szCs w:val="21"/>
                <w:highlight w:val="none"/>
              </w:rPr>
            </w:pPr>
            <w:r>
              <w:rPr>
                <w:rFonts w:hint="eastAsia" w:ascii="微软雅黑" w:hAnsi="微软雅黑" w:eastAsia="微软雅黑" w:cs="微软雅黑"/>
                <w:color w:val="auto"/>
                <w:sz w:val="21"/>
                <w:szCs w:val="21"/>
                <w:highlight w:val="none"/>
              </w:rPr>
              <w:t>按“第一篇三、采购代理机构资格要求（二）本项目的特定资格要求”的要求提交。</w:t>
            </w:r>
          </w:p>
        </w:tc>
      </w:tr>
    </w:tbl>
    <w:p w14:paraId="1CF01454">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注：</w:t>
      </w:r>
    </w:p>
    <w:p w14:paraId="275F3D33">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①根据《中华人民共和国政府采购法实施条例》第十九条“参加政府采购活动前三年内，在经营活动中没有重大违法记录”中“重大违法记录”，是指采购代理机构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采购代理机构可于投标截止日期前通过 “信用中国”网站(www.creditchina.gov.cn)、"中国政府采购网"(www.ccgp.gov.cn)等渠道查询信用记录。</w:t>
      </w:r>
    </w:p>
    <w:p w14:paraId="5F7DFBA3">
      <w:pPr>
        <w:snapToGrid w:val="0"/>
        <w:spacing w:line="400" w:lineRule="exact"/>
        <w:ind w:firstLine="480" w:firstLineChars="200"/>
        <w:rPr>
          <w:rFonts w:hint="eastAsia" w:ascii="微软雅黑" w:hAnsi="微软雅黑" w:eastAsia="微软雅黑" w:cs="微软雅黑"/>
          <w:color w:val="auto"/>
          <w:kern w:val="0"/>
          <w:sz w:val="24"/>
          <w:szCs w:val="24"/>
          <w:highlight w:val="none"/>
        </w:rPr>
      </w:pPr>
      <w:r>
        <w:rPr>
          <w:rFonts w:hint="eastAsia" w:ascii="微软雅黑" w:hAnsi="微软雅黑" w:eastAsia="微软雅黑" w:cs="微软雅黑"/>
          <w:color w:val="auto"/>
          <w:kern w:val="0"/>
          <w:sz w:val="24"/>
          <w:szCs w:val="24"/>
          <w:highlight w:val="none"/>
        </w:rPr>
        <w:t>2、符合性审查。依据竞争性比选文件的规定，从比选响应文件的有效性、完整性和对竞争性比选文件的响应程度进行审查，以确定是否对竞争性比选文件的实质性要求作出响应。符合性审查资料表如下：</w:t>
      </w:r>
    </w:p>
    <w:tbl>
      <w:tblPr>
        <w:tblStyle w:val="1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552"/>
        <w:gridCol w:w="1974"/>
        <w:gridCol w:w="5382"/>
      </w:tblGrid>
      <w:tr w14:paraId="733B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Align w:val="center"/>
          </w:tcPr>
          <w:p w14:paraId="33FC0C32">
            <w:pPr>
              <w:snapToGrid w:val="0"/>
              <w:spacing w:line="400" w:lineRule="exact"/>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序号</w:t>
            </w:r>
          </w:p>
        </w:tc>
        <w:tc>
          <w:tcPr>
            <w:tcW w:w="3526" w:type="dxa"/>
            <w:gridSpan w:val="2"/>
            <w:vAlign w:val="center"/>
          </w:tcPr>
          <w:p w14:paraId="641A023C">
            <w:pPr>
              <w:snapToGrid w:val="0"/>
              <w:spacing w:line="400" w:lineRule="exact"/>
              <w:ind w:firstLine="420" w:firstLineChars="200"/>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评审因素</w:t>
            </w:r>
          </w:p>
        </w:tc>
        <w:tc>
          <w:tcPr>
            <w:tcW w:w="5382" w:type="dxa"/>
            <w:vAlign w:val="center"/>
          </w:tcPr>
          <w:p w14:paraId="5D0B7C24">
            <w:pPr>
              <w:snapToGrid w:val="0"/>
              <w:spacing w:line="400" w:lineRule="exact"/>
              <w:ind w:firstLine="420" w:firstLineChars="200"/>
              <w:rPr>
                <w:rFonts w:hint="eastAsia" w:ascii="微软雅黑" w:hAnsi="微软雅黑" w:eastAsia="微软雅黑" w:cs="微软雅黑"/>
                <w:b/>
                <w:bCs/>
                <w:color w:val="auto"/>
                <w:kern w:val="0"/>
                <w:sz w:val="21"/>
                <w:szCs w:val="21"/>
                <w:highlight w:val="none"/>
              </w:rPr>
            </w:pPr>
            <w:r>
              <w:rPr>
                <w:rFonts w:hint="eastAsia" w:ascii="微软雅黑" w:hAnsi="微软雅黑" w:eastAsia="微软雅黑" w:cs="微软雅黑"/>
                <w:b/>
                <w:bCs/>
                <w:color w:val="auto"/>
                <w:kern w:val="0"/>
                <w:sz w:val="21"/>
                <w:szCs w:val="21"/>
                <w:highlight w:val="none"/>
              </w:rPr>
              <w:t>评审标准</w:t>
            </w:r>
          </w:p>
        </w:tc>
      </w:tr>
      <w:tr w14:paraId="20F0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14:paraId="026F801D">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w:t>
            </w:r>
          </w:p>
        </w:tc>
        <w:tc>
          <w:tcPr>
            <w:tcW w:w="1552" w:type="dxa"/>
            <w:vMerge w:val="restart"/>
            <w:vAlign w:val="center"/>
          </w:tcPr>
          <w:p w14:paraId="777ACA26">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有效性审查</w:t>
            </w:r>
          </w:p>
        </w:tc>
        <w:tc>
          <w:tcPr>
            <w:tcW w:w="1974" w:type="dxa"/>
            <w:vAlign w:val="center"/>
          </w:tcPr>
          <w:p w14:paraId="770EBB8A">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响应文件签署</w:t>
            </w:r>
          </w:p>
        </w:tc>
        <w:tc>
          <w:tcPr>
            <w:tcW w:w="5382" w:type="dxa"/>
            <w:vAlign w:val="center"/>
          </w:tcPr>
          <w:p w14:paraId="201E4E47">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响应文件电子文档上法定代表人（或其授权代表）的签字齐全。</w:t>
            </w:r>
          </w:p>
        </w:tc>
      </w:tr>
      <w:tr w14:paraId="7626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14:paraId="6D3F0EB1">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14:paraId="4003DAAB">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14:paraId="55CF8B8B">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法定代表人身份证明及授权委托书</w:t>
            </w:r>
          </w:p>
        </w:tc>
        <w:tc>
          <w:tcPr>
            <w:tcW w:w="5382" w:type="dxa"/>
            <w:vAlign w:val="center"/>
          </w:tcPr>
          <w:p w14:paraId="29E89455">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法定代表人身份证明及授权委托书有效，符合</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rPr>
              <w:t>文件规定的格式，签字或盖章齐全。</w:t>
            </w:r>
          </w:p>
        </w:tc>
      </w:tr>
      <w:tr w14:paraId="7AE9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671" w:type="dxa"/>
            <w:vMerge w:val="continue"/>
            <w:vAlign w:val="center"/>
          </w:tcPr>
          <w:p w14:paraId="576A1424">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14:paraId="671CE8DF">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14:paraId="11808D12">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方案</w:t>
            </w:r>
          </w:p>
        </w:tc>
        <w:tc>
          <w:tcPr>
            <w:tcW w:w="5382" w:type="dxa"/>
            <w:vAlign w:val="center"/>
          </w:tcPr>
          <w:p w14:paraId="3BB85C7F">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lang w:val="zh-CN"/>
              </w:rPr>
              <w:t>只能有一个</w:t>
            </w: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方案。</w:t>
            </w:r>
          </w:p>
        </w:tc>
      </w:tr>
      <w:tr w14:paraId="3FB78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71" w:type="dxa"/>
            <w:vMerge w:val="continue"/>
            <w:vAlign w:val="center"/>
          </w:tcPr>
          <w:p w14:paraId="3B024050">
            <w:pPr>
              <w:snapToGrid w:val="0"/>
              <w:spacing w:line="400" w:lineRule="exact"/>
              <w:ind w:firstLine="420" w:firstLineChars="200"/>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14:paraId="0CE4DA25">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974" w:type="dxa"/>
            <w:vAlign w:val="center"/>
          </w:tcPr>
          <w:p w14:paraId="50A8C3DF">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报价唯一</w:t>
            </w:r>
          </w:p>
        </w:tc>
        <w:tc>
          <w:tcPr>
            <w:tcW w:w="5382" w:type="dxa"/>
            <w:vAlign w:val="center"/>
          </w:tcPr>
          <w:p w14:paraId="687820D3">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lang w:val="zh-CN"/>
              </w:rPr>
              <w:t>只能在采购预算范围内报价，</w:t>
            </w:r>
            <w:r>
              <w:rPr>
                <w:rFonts w:hint="eastAsia" w:ascii="微软雅黑" w:hAnsi="微软雅黑" w:eastAsia="微软雅黑" w:cs="微软雅黑"/>
                <w:color w:val="auto"/>
                <w:kern w:val="0"/>
                <w:sz w:val="21"/>
                <w:szCs w:val="21"/>
                <w:highlight w:val="none"/>
              </w:rPr>
              <w:t>只能有一个有效报价，不得提交选择性报价。</w:t>
            </w:r>
          </w:p>
        </w:tc>
      </w:tr>
      <w:tr w14:paraId="7849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restart"/>
            <w:vAlign w:val="center"/>
          </w:tcPr>
          <w:p w14:paraId="3E30903E">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w:t>
            </w:r>
          </w:p>
        </w:tc>
        <w:tc>
          <w:tcPr>
            <w:tcW w:w="1552" w:type="dxa"/>
            <w:vMerge w:val="restart"/>
            <w:vAlign w:val="center"/>
          </w:tcPr>
          <w:p w14:paraId="251C40CF">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完整性审查</w:t>
            </w:r>
          </w:p>
        </w:tc>
        <w:tc>
          <w:tcPr>
            <w:tcW w:w="1974" w:type="dxa"/>
            <w:vAlign w:val="center"/>
          </w:tcPr>
          <w:p w14:paraId="1E3CA283">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文件份数</w:t>
            </w:r>
          </w:p>
        </w:tc>
        <w:tc>
          <w:tcPr>
            <w:tcW w:w="5382" w:type="dxa"/>
            <w:vAlign w:val="center"/>
          </w:tcPr>
          <w:p w14:paraId="65B4A88B">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w:t>
            </w:r>
            <w:r>
              <w:rPr>
                <w:rFonts w:hint="eastAsia" w:ascii="微软雅黑" w:hAnsi="微软雅黑" w:eastAsia="微软雅黑" w:cs="微软雅黑"/>
                <w:color w:val="auto"/>
                <w:kern w:val="0"/>
                <w:sz w:val="21"/>
                <w:szCs w:val="21"/>
                <w:highlight w:val="none"/>
                <w:lang w:val="zh-CN"/>
              </w:rPr>
              <w:t>文件</w:t>
            </w:r>
            <w:r>
              <w:rPr>
                <w:rFonts w:hint="eastAsia" w:ascii="微软雅黑" w:hAnsi="微软雅黑" w:eastAsia="微软雅黑" w:cs="微软雅黑"/>
                <w:color w:val="auto"/>
                <w:kern w:val="0"/>
                <w:sz w:val="21"/>
                <w:szCs w:val="21"/>
                <w:highlight w:val="none"/>
              </w:rPr>
              <w:t>份数</w:t>
            </w:r>
            <w:r>
              <w:rPr>
                <w:rFonts w:hint="eastAsia" w:ascii="微软雅黑" w:hAnsi="微软雅黑" w:eastAsia="微软雅黑" w:cs="微软雅黑"/>
                <w:color w:val="auto"/>
                <w:kern w:val="0"/>
                <w:sz w:val="21"/>
                <w:szCs w:val="21"/>
                <w:highlight w:val="none"/>
                <w:lang w:val="zh-CN"/>
              </w:rPr>
              <w:t>符合</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lang w:val="zh-CN"/>
              </w:rPr>
              <w:t>文件要求。</w:t>
            </w:r>
          </w:p>
        </w:tc>
      </w:tr>
      <w:tr w14:paraId="6920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671" w:type="dxa"/>
            <w:vMerge w:val="continue"/>
            <w:vAlign w:val="center"/>
          </w:tcPr>
          <w:p w14:paraId="239F9F9C">
            <w:pPr>
              <w:snapToGrid w:val="0"/>
              <w:spacing w:line="400" w:lineRule="exact"/>
              <w:jc w:val="center"/>
              <w:rPr>
                <w:rFonts w:hint="eastAsia" w:ascii="微软雅黑" w:hAnsi="微软雅黑" w:eastAsia="微软雅黑" w:cs="微软雅黑"/>
                <w:color w:val="auto"/>
                <w:kern w:val="0"/>
                <w:sz w:val="21"/>
                <w:szCs w:val="21"/>
                <w:highlight w:val="none"/>
              </w:rPr>
            </w:pPr>
          </w:p>
        </w:tc>
        <w:tc>
          <w:tcPr>
            <w:tcW w:w="1552" w:type="dxa"/>
            <w:vMerge w:val="continue"/>
            <w:vAlign w:val="center"/>
          </w:tcPr>
          <w:p w14:paraId="08EBC618">
            <w:pPr>
              <w:snapToGrid w:val="0"/>
              <w:spacing w:line="400" w:lineRule="exact"/>
              <w:rPr>
                <w:rFonts w:hint="eastAsia" w:ascii="微软雅黑" w:hAnsi="微软雅黑" w:eastAsia="微软雅黑" w:cs="微软雅黑"/>
                <w:color w:val="auto"/>
                <w:kern w:val="0"/>
                <w:sz w:val="21"/>
                <w:szCs w:val="21"/>
                <w:highlight w:val="none"/>
              </w:rPr>
            </w:pPr>
          </w:p>
        </w:tc>
        <w:tc>
          <w:tcPr>
            <w:tcW w:w="1974" w:type="dxa"/>
            <w:vAlign w:val="center"/>
          </w:tcPr>
          <w:p w14:paraId="45060F58">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w:t>
            </w:r>
          </w:p>
        </w:tc>
        <w:tc>
          <w:tcPr>
            <w:tcW w:w="5382" w:type="dxa"/>
            <w:vAlign w:val="center"/>
          </w:tcPr>
          <w:p w14:paraId="5DE78CFB">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响应文件内容齐全、无遗漏。</w:t>
            </w:r>
          </w:p>
        </w:tc>
      </w:tr>
      <w:tr w14:paraId="26DA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1" w:type="dxa"/>
            <w:vMerge w:val="restart"/>
            <w:vAlign w:val="center"/>
          </w:tcPr>
          <w:p w14:paraId="7642FFB7">
            <w:pPr>
              <w:snapToGrid w:val="0"/>
              <w:spacing w:line="400" w:lineRule="exact"/>
              <w:jc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3</w:t>
            </w:r>
          </w:p>
        </w:tc>
        <w:tc>
          <w:tcPr>
            <w:tcW w:w="1552" w:type="dxa"/>
            <w:vMerge w:val="restart"/>
            <w:vAlign w:val="center"/>
          </w:tcPr>
          <w:p w14:paraId="7A71F222">
            <w:pPr>
              <w:snapToGrid w:val="0"/>
              <w:spacing w:line="400" w:lineRule="exact"/>
              <w:rPr>
                <w:rFonts w:hint="eastAsia" w:ascii="微软雅黑" w:hAnsi="微软雅黑" w:eastAsia="微软雅黑" w:cs="微软雅黑"/>
                <w:color w:val="auto"/>
                <w:kern w:val="0"/>
                <w:sz w:val="21"/>
                <w:szCs w:val="21"/>
                <w:highlight w:val="none"/>
                <w:lang w:val="zh-CN"/>
              </w:rPr>
            </w:pPr>
            <w:r>
              <w:rPr>
                <w:rFonts w:hint="eastAsia" w:ascii="微软雅黑" w:hAnsi="微软雅黑" w:eastAsia="微软雅黑" w:cs="微软雅黑"/>
                <w:color w:val="auto"/>
                <w:kern w:val="0"/>
                <w:sz w:val="21"/>
                <w:szCs w:val="21"/>
                <w:highlight w:val="none"/>
              </w:rPr>
              <w:t>响应程度审查</w:t>
            </w:r>
          </w:p>
        </w:tc>
        <w:tc>
          <w:tcPr>
            <w:tcW w:w="1974" w:type="dxa"/>
            <w:vAlign w:val="center"/>
          </w:tcPr>
          <w:p w14:paraId="3BA3D660">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响应文件内容</w:t>
            </w:r>
          </w:p>
        </w:tc>
        <w:tc>
          <w:tcPr>
            <w:tcW w:w="5382" w:type="dxa"/>
            <w:vAlign w:val="center"/>
          </w:tcPr>
          <w:p w14:paraId="7B82ED65">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lang w:val="en-US" w:eastAsia="zh-CN"/>
              </w:rPr>
              <w:t>满足比选</w:t>
            </w:r>
            <w:r>
              <w:rPr>
                <w:rFonts w:hint="eastAsia" w:ascii="微软雅黑" w:hAnsi="微软雅黑" w:eastAsia="微软雅黑" w:cs="微软雅黑"/>
                <w:color w:val="auto"/>
                <w:kern w:val="0"/>
                <w:sz w:val="21"/>
                <w:szCs w:val="21"/>
                <w:highlight w:val="none"/>
              </w:rPr>
              <w:t>文件第二篇、第三篇</w:t>
            </w:r>
            <w:r>
              <w:rPr>
                <w:rFonts w:hint="eastAsia" w:ascii="微软雅黑" w:hAnsi="微软雅黑" w:eastAsia="微软雅黑" w:cs="微软雅黑"/>
                <w:color w:val="auto"/>
                <w:kern w:val="0"/>
                <w:sz w:val="21"/>
                <w:szCs w:val="21"/>
                <w:highlight w:val="none"/>
                <w:lang w:val="en-US" w:eastAsia="zh-CN"/>
              </w:rPr>
              <w:t>标注</w:t>
            </w:r>
            <w:r>
              <w:rPr>
                <w:rFonts w:hint="eastAsia" w:ascii="微软雅黑" w:hAnsi="微软雅黑" w:eastAsia="微软雅黑" w:cs="微软雅黑"/>
                <w:color w:val="auto"/>
                <w:kern w:val="0"/>
                <w:sz w:val="21"/>
                <w:szCs w:val="21"/>
                <w:highlight w:val="none"/>
                <w:lang w:eastAsia="zh-CN"/>
              </w:rPr>
              <w:t>“</w:t>
            </w:r>
            <w:r>
              <w:rPr>
                <w:rFonts w:hint="eastAsia" w:ascii="宋体" w:hAnsi="宋体" w:cs="宋体"/>
                <w:color w:val="auto"/>
                <w:kern w:val="0"/>
                <w:sz w:val="20"/>
                <w:highlight w:val="none"/>
                <w:shd w:val="clear" w:color="auto" w:fill="FFFFFF"/>
              </w:rPr>
              <w:t>※</w:t>
            </w:r>
            <w:r>
              <w:rPr>
                <w:rFonts w:hint="eastAsia" w:ascii="微软雅黑" w:hAnsi="微软雅黑" w:eastAsia="微软雅黑" w:cs="微软雅黑"/>
                <w:color w:val="auto"/>
                <w:kern w:val="0"/>
                <w:sz w:val="21"/>
                <w:szCs w:val="21"/>
                <w:highlight w:val="none"/>
                <w:lang w:eastAsia="zh-CN"/>
              </w:rPr>
              <w:t>”</w:t>
            </w:r>
            <w:r>
              <w:rPr>
                <w:rFonts w:hint="eastAsia" w:ascii="微软雅黑" w:hAnsi="微软雅黑" w:eastAsia="微软雅黑" w:cs="微软雅黑"/>
                <w:color w:val="auto"/>
                <w:kern w:val="0"/>
                <w:sz w:val="21"/>
                <w:szCs w:val="21"/>
                <w:highlight w:val="none"/>
              </w:rPr>
              <w:t>内容。</w:t>
            </w:r>
          </w:p>
        </w:tc>
      </w:tr>
      <w:tr w14:paraId="622AF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671" w:type="dxa"/>
            <w:vMerge w:val="continue"/>
            <w:vAlign w:val="center"/>
          </w:tcPr>
          <w:p w14:paraId="219300D8">
            <w:pPr>
              <w:snapToGrid w:val="0"/>
              <w:spacing w:line="400" w:lineRule="exact"/>
              <w:ind w:firstLine="420" w:firstLineChars="200"/>
              <w:rPr>
                <w:rFonts w:hint="eastAsia" w:ascii="微软雅黑" w:hAnsi="微软雅黑" w:eastAsia="微软雅黑" w:cs="微软雅黑"/>
                <w:color w:val="auto"/>
                <w:kern w:val="0"/>
                <w:sz w:val="21"/>
                <w:szCs w:val="21"/>
                <w:highlight w:val="none"/>
              </w:rPr>
            </w:pPr>
          </w:p>
        </w:tc>
        <w:tc>
          <w:tcPr>
            <w:tcW w:w="1552" w:type="dxa"/>
            <w:vMerge w:val="continue"/>
            <w:vAlign w:val="center"/>
          </w:tcPr>
          <w:p w14:paraId="1CDA6C63">
            <w:pPr>
              <w:snapToGrid w:val="0"/>
              <w:spacing w:line="400" w:lineRule="exact"/>
              <w:rPr>
                <w:rFonts w:hint="eastAsia" w:ascii="微软雅黑" w:hAnsi="微软雅黑" w:eastAsia="微软雅黑" w:cs="微软雅黑"/>
                <w:color w:val="auto"/>
                <w:kern w:val="0"/>
                <w:sz w:val="21"/>
                <w:szCs w:val="21"/>
                <w:highlight w:val="none"/>
                <w:lang w:val="zh-CN"/>
              </w:rPr>
            </w:pPr>
          </w:p>
        </w:tc>
        <w:tc>
          <w:tcPr>
            <w:tcW w:w="1974" w:type="dxa"/>
            <w:vAlign w:val="center"/>
          </w:tcPr>
          <w:p w14:paraId="5C2FFDC9">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网上竞采有效期</w:t>
            </w:r>
          </w:p>
        </w:tc>
        <w:tc>
          <w:tcPr>
            <w:tcW w:w="5382" w:type="dxa"/>
            <w:vAlign w:val="center"/>
          </w:tcPr>
          <w:p w14:paraId="420CB14D">
            <w:pPr>
              <w:snapToGrid w:val="0"/>
              <w:spacing w:line="400" w:lineRule="exac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满足</w:t>
            </w:r>
            <w:r>
              <w:rPr>
                <w:rFonts w:hint="eastAsia" w:ascii="微软雅黑" w:hAnsi="微软雅黑" w:eastAsia="微软雅黑" w:cs="微软雅黑"/>
                <w:color w:val="auto"/>
                <w:kern w:val="0"/>
                <w:sz w:val="21"/>
                <w:szCs w:val="21"/>
                <w:highlight w:val="none"/>
                <w:lang w:val="en-US" w:eastAsia="zh-CN"/>
              </w:rPr>
              <w:t>比选</w:t>
            </w:r>
            <w:r>
              <w:rPr>
                <w:rFonts w:hint="eastAsia" w:ascii="微软雅黑" w:hAnsi="微软雅黑" w:eastAsia="微软雅黑" w:cs="微软雅黑"/>
                <w:color w:val="auto"/>
                <w:kern w:val="0"/>
                <w:sz w:val="21"/>
                <w:szCs w:val="21"/>
                <w:highlight w:val="none"/>
                <w:lang w:val="zh-CN"/>
              </w:rPr>
              <w:t>文件规定有效期为提交响应文件截止时间起90天。</w:t>
            </w:r>
          </w:p>
        </w:tc>
      </w:tr>
    </w:tbl>
    <w:p w14:paraId="5258DDF1">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澄清有关问题。比选小组在对比选响应文件的有效性、完整性和响应程度进行审查时，可以要求采购代理机构对比选响应文件中含义不明确、同类问题表述不一致或者有明显文字和计算错误的内容等作出必要的澄清、说明或者更正。采购代理机构的澄清、说明或者更正不得超出比选响应文件的范围或者改变比选响应文件的实质性内容。</w:t>
      </w:r>
    </w:p>
    <w:p w14:paraId="36315ECF">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（四）比选小组要求采购代理机构澄清、说明或者更正比选响应文件应当以书面形式作出。采购代理机构的澄清、说明或者更正应当由法定代表人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或其授权代表签署或者加盖公章。由授权代表签署的，应当附法定代表人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授权书。</w:t>
      </w:r>
    </w:p>
    <w:p w14:paraId="1B594BEE">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（五）在比选过程中比选的任何一方不得向他人透露与比选有关的服务资料、价格或其他信息。</w:t>
      </w:r>
    </w:p>
    <w:p w14:paraId="73593567">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在比选过程中，比选小组不得根据竞争性比选文件和比选情况实质性变动采购需求中的服务、商务要求以及合同草案条款。对竞争性比选文件作出的实质性变动是竞争性比选文件的有效组成部分，比选小组应当及时以书面形式同时通知所有参加比选的</w:t>
      </w:r>
      <w:r>
        <w:rPr>
          <w:rFonts w:hint="default" w:ascii="微软雅黑" w:hAnsi="微软雅黑" w:eastAsia="微软雅黑" w:cs="微软雅黑"/>
          <w:color w:val="auto"/>
          <w:sz w:val="24"/>
          <w:szCs w:val="24"/>
          <w:highlight w:val="none"/>
          <w:lang w:val="en-US"/>
        </w:rPr>
        <w:t>采购</w:t>
      </w:r>
      <w:r>
        <w:rPr>
          <w:rFonts w:hint="eastAsia" w:ascii="微软雅黑" w:hAnsi="微软雅黑" w:eastAsia="微软雅黑" w:cs="微软雅黑"/>
          <w:color w:val="auto"/>
          <w:sz w:val="24"/>
          <w:szCs w:val="24"/>
          <w:highlight w:val="none"/>
        </w:rPr>
        <w:t>代理机构。</w:t>
      </w:r>
    </w:p>
    <w:p w14:paraId="219E328A">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（七）采购代理机构在比选时作出的所有书面承诺须由法定代表人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或其授权代表签署。</w:t>
      </w:r>
    </w:p>
    <w:p w14:paraId="5B699C96">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比选小组采用综合评分法对采购代理机构的比选响应文件和报价（含有效书面承诺）进行综合评分。综合评分法，是指比选响应文件满足竞争性比选文件全部实质性要求且按照评审因素的量化指标评审得分最高的采购代理机构为成交候选采购代理机构的评审方法。采购代理机构总得分为服务、商务等评定因素分别按照相应权重值计算分项得分后相加，满分为100分。</w:t>
      </w:r>
    </w:p>
    <w:p w14:paraId="2521EFD9">
      <w:pPr>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比选小组各成员独立对每个有效响应（通过资格性审查、符合性审查的采购代理机构）的文件进行评价、打分，然后汇总每个采购代理机构每项评分因素的得分，并根据综合评分情况按照评审得分由高到低顺序推荐</w:t>
      </w:r>
      <w:r>
        <w:rPr>
          <w:rFonts w:hint="eastAsia" w:ascii="微软雅黑" w:hAnsi="微软雅黑" w:eastAsia="微软雅黑" w:cs="微软雅黑"/>
          <w:color w:val="auto"/>
          <w:sz w:val="24"/>
          <w:szCs w:val="24"/>
          <w:highlight w:val="none"/>
          <w:lang w:val="en-US" w:eastAsia="zh-CN"/>
        </w:rPr>
        <w:t>不高于</w:t>
      </w:r>
      <w:r>
        <w:rPr>
          <w:rFonts w:hint="eastAsia" w:ascii="微软雅黑" w:hAnsi="微软雅黑" w:eastAsia="微软雅黑" w:cs="微软雅黑"/>
          <w:color w:val="auto"/>
          <w:sz w:val="24"/>
          <w:szCs w:val="24"/>
          <w:highlight w:val="none"/>
        </w:rPr>
        <w:t>3名成交候选采购代理机构，并编写评审报告。若采购代理机构的评审得分相同的，按照报价由高到低的顺序排列推荐。评审得分且报价相同的，按照服务指标优劣顺序排列推荐。以上都相同的，按商务条款的优劣顺序排列推荐。</w:t>
      </w:r>
    </w:p>
    <w:p w14:paraId="4E8F273C">
      <w:pPr>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注：技术/服务部分得分为0分的供应商失去成为成交候选人的资格。</w:t>
      </w:r>
    </w:p>
    <w:p w14:paraId="45FF1398">
      <w:pPr>
        <w:pStyle w:val="3"/>
        <w:spacing w:line="440" w:lineRule="exact"/>
        <w:ind w:firstLine="240" w:firstLineChars="100"/>
        <w:rPr>
          <w:rFonts w:hint="eastAsia" w:ascii="微软雅黑" w:hAnsi="微软雅黑" w:eastAsia="微软雅黑" w:cs="微软雅黑"/>
          <w:color w:val="auto"/>
          <w:sz w:val="24"/>
          <w:szCs w:val="24"/>
          <w:highlight w:val="none"/>
        </w:rPr>
      </w:pPr>
      <w:bookmarkStart w:id="47" w:name="_Toc30210"/>
      <w:r>
        <w:rPr>
          <w:rFonts w:hint="eastAsia" w:ascii="微软雅黑" w:hAnsi="微软雅黑" w:eastAsia="微软雅黑" w:cs="微软雅黑"/>
          <w:color w:val="auto"/>
          <w:sz w:val="24"/>
          <w:szCs w:val="24"/>
          <w:highlight w:val="none"/>
        </w:rPr>
        <w:t>二、</w:t>
      </w:r>
      <w:bookmarkStart w:id="48" w:name="_Toc102227320"/>
      <w:bookmarkStart w:id="49" w:name="_Toc342913394"/>
      <w:r>
        <w:rPr>
          <w:rFonts w:hint="eastAsia" w:ascii="微软雅黑" w:hAnsi="微软雅黑" w:eastAsia="微软雅黑" w:cs="微软雅黑"/>
          <w:color w:val="auto"/>
          <w:sz w:val="24"/>
          <w:szCs w:val="24"/>
          <w:highlight w:val="none"/>
        </w:rPr>
        <w:t>评审标准</w:t>
      </w:r>
      <w:bookmarkEnd w:id="47"/>
    </w:p>
    <w:tbl>
      <w:tblPr>
        <w:tblStyle w:val="15"/>
        <w:tblW w:w="987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090"/>
        <w:gridCol w:w="1333"/>
        <w:gridCol w:w="4514"/>
        <w:gridCol w:w="2500"/>
      </w:tblGrid>
      <w:tr w14:paraId="6B1F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436" w:type="dxa"/>
            <w:vAlign w:val="center"/>
          </w:tcPr>
          <w:p w14:paraId="699558AB">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序号</w:t>
            </w:r>
          </w:p>
        </w:tc>
        <w:tc>
          <w:tcPr>
            <w:tcW w:w="1090" w:type="dxa"/>
            <w:vAlign w:val="center"/>
          </w:tcPr>
          <w:p w14:paraId="7B2746A2">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评分因素及权值</w:t>
            </w:r>
          </w:p>
        </w:tc>
        <w:tc>
          <w:tcPr>
            <w:tcW w:w="1333" w:type="dxa"/>
            <w:vAlign w:val="center"/>
          </w:tcPr>
          <w:p w14:paraId="204E59E8">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分值</w:t>
            </w:r>
          </w:p>
        </w:tc>
        <w:tc>
          <w:tcPr>
            <w:tcW w:w="4514" w:type="dxa"/>
            <w:vAlign w:val="center"/>
          </w:tcPr>
          <w:p w14:paraId="0AE55001">
            <w:pPr>
              <w:spacing w:line="240" w:lineRule="atLeast"/>
              <w:ind w:firstLine="28"/>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评分标准</w:t>
            </w:r>
          </w:p>
        </w:tc>
        <w:tc>
          <w:tcPr>
            <w:tcW w:w="2500" w:type="dxa"/>
            <w:vAlign w:val="center"/>
          </w:tcPr>
          <w:p w14:paraId="3227FDFA">
            <w:pPr>
              <w:spacing w:line="240" w:lineRule="atLeast"/>
              <w:jc w:val="center"/>
              <w:rPr>
                <w:rFonts w:hint="eastAsia" w:ascii="微软雅黑" w:hAnsi="微软雅黑" w:eastAsia="微软雅黑" w:cs="微软雅黑"/>
                <w:b/>
                <w:color w:val="auto"/>
                <w:sz w:val="21"/>
                <w:szCs w:val="21"/>
                <w:highlight w:val="none"/>
              </w:rPr>
            </w:pPr>
            <w:r>
              <w:rPr>
                <w:rFonts w:hint="eastAsia" w:ascii="微软雅黑" w:hAnsi="微软雅黑" w:eastAsia="微软雅黑" w:cs="微软雅黑"/>
                <w:b/>
                <w:color w:val="auto"/>
                <w:sz w:val="21"/>
                <w:szCs w:val="21"/>
                <w:highlight w:val="none"/>
              </w:rPr>
              <w:t>说明</w:t>
            </w:r>
          </w:p>
        </w:tc>
      </w:tr>
      <w:tr w14:paraId="5DEE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436" w:type="dxa"/>
            <w:vMerge w:val="restart"/>
            <w:vAlign w:val="center"/>
          </w:tcPr>
          <w:p w14:paraId="664F5475">
            <w:pPr>
              <w:spacing w:line="240" w:lineRule="atLeast"/>
              <w:ind w:firstLine="28"/>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w:t>
            </w:r>
          </w:p>
        </w:tc>
        <w:tc>
          <w:tcPr>
            <w:tcW w:w="1090" w:type="dxa"/>
            <w:vMerge w:val="restart"/>
            <w:vAlign w:val="center"/>
          </w:tcPr>
          <w:p w14:paraId="4625A957">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服务部分（</w:t>
            </w:r>
            <w:r>
              <w:rPr>
                <w:rFonts w:hint="eastAsia" w:ascii="微软雅黑" w:hAnsi="微软雅黑" w:eastAsia="微软雅黑" w:cs="微软雅黑"/>
                <w:color w:val="auto"/>
                <w:sz w:val="21"/>
                <w:szCs w:val="21"/>
                <w:highlight w:val="none"/>
                <w:lang w:val="en-US" w:eastAsia="zh-CN"/>
              </w:rPr>
              <w:t>55</w:t>
            </w:r>
            <w:r>
              <w:rPr>
                <w:rFonts w:hint="eastAsia" w:ascii="微软雅黑" w:hAnsi="微软雅黑" w:eastAsia="微软雅黑" w:cs="微软雅黑"/>
                <w:color w:val="auto"/>
                <w:sz w:val="21"/>
                <w:szCs w:val="21"/>
                <w:highlight w:val="none"/>
              </w:rPr>
              <w:t>%）</w:t>
            </w:r>
          </w:p>
        </w:tc>
        <w:tc>
          <w:tcPr>
            <w:tcW w:w="1333" w:type="dxa"/>
            <w:vAlign w:val="center"/>
          </w:tcPr>
          <w:p w14:paraId="1C84714C">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服务响应程度（1</w:t>
            </w:r>
            <w:r>
              <w:rPr>
                <w:rFonts w:hint="default" w:ascii="微软雅黑" w:hAnsi="微软雅黑" w:eastAsia="微软雅黑" w:cs="微软雅黑"/>
                <w:color w:val="auto"/>
                <w:sz w:val="21"/>
                <w:szCs w:val="21"/>
                <w:highlight w:val="none"/>
                <w:lang w:val="en-US"/>
              </w:rPr>
              <w:t>1</w:t>
            </w:r>
            <w:r>
              <w:rPr>
                <w:rFonts w:hint="eastAsia" w:ascii="微软雅黑" w:hAnsi="微软雅黑" w:eastAsia="微软雅黑" w:cs="微软雅黑"/>
                <w:color w:val="auto"/>
                <w:sz w:val="21"/>
                <w:szCs w:val="21"/>
                <w:highlight w:val="none"/>
              </w:rPr>
              <w:t>分）</w:t>
            </w:r>
          </w:p>
        </w:tc>
        <w:tc>
          <w:tcPr>
            <w:tcW w:w="4514" w:type="dxa"/>
            <w:vAlign w:val="center"/>
          </w:tcPr>
          <w:p w14:paraId="1F06C9D4">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1.有效投标人的起评分为1</w:t>
            </w:r>
            <w:r>
              <w:rPr>
                <w:rFonts w:hint="eastAsia" w:ascii="微软雅黑" w:hAnsi="微软雅黑" w:eastAsia="微软雅黑" w:cs="微软雅黑"/>
                <w:color w:val="auto"/>
                <w:kern w:val="0"/>
                <w:sz w:val="21"/>
                <w:szCs w:val="21"/>
                <w:highlight w:val="none"/>
                <w:lang w:val="en-US" w:eastAsia="zh-CN"/>
              </w:rPr>
              <w:t>1</w:t>
            </w:r>
            <w:r>
              <w:rPr>
                <w:rFonts w:hint="eastAsia" w:ascii="微软雅黑" w:hAnsi="微软雅黑" w:eastAsia="微软雅黑" w:cs="微软雅黑"/>
                <w:color w:val="auto"/>
                <w:kern w:val="0"/>
                <w:sz w:val="21"/>
                <w:szCs w:val="21"/>
                <w:highlight w:val="none"/>
              </w:rPr>
              <w:t>分。</w:t>
            </w:r>
          </w:p>
          <w:p w14:paraId="7BC51669">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 扣分条款：</w:t>
            </w:r>
          </w:p>
          <w:p w14:paraId="5D7B5796">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 xml:space="preserve">2.1 投标产品技术参数不满足招标文件重要技术参数需求的【本招标文件第二篇“服务内容和服务要求”部分（▲）号标注的部分】，每负偏离一条从起评分中扣除1分，扣完为止。 </w:t>
            </w:r>
          </w:p>
          <w:p w14:paraId="6DEFFAF3">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2.2投标产品技术参数不满足招标文件一般性技术需求的【即本招标文件第二篇 “服务内容和服务要求”部分（▲）和（※）号标注的部分除外】，每负偏离一条从起评分中扣除0.1分，扣完为止。</w:t>
            </w:r>
          </w:p>
        </w:tc>
        <w:tc>
          <w:tcPr>
            <w:tcW w:w="2500" w:type="dxa"/>
            <w:vAlign w:val="center"/>
          </w:tcPr>
          <w:p w14:paraId="1E1C41B5">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注：每条（▲）号条款或每条一般性技术需求（非（▲）号和非（※）号条款）下有多个技术参数要求的，多个技术参数中只要其中一个不满足要求，即按不满足该条（▲）号条款或该条一般性技术需求进行相应扣分（多个技术参数中有多个条款不满足的，不重复扣分）。</w:t>
            </w:r>
          </w:p>
        </w:tc>
      </w:tr>
      <w:tr w14:paraId="0C64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trPr>
        <w:tc>
          <w:tcPr>
            <w:tcW w:w="436" w:type="dxa"/>
            <w:vMerge w:val="continue"/>
            <w:vAlign w:val="center"/>
          </w:tcPr>
          <w:p w14:paraId="4ED84F9C">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14:paraId="7A649E81">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14:paraId="40A2D10A">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招标代理工作服务方案（10分）</w:t>
            </w:r>
          </w:p>
        </w:tc>
        <w:tc>
          <w:tcPr>
            <w:tcW w:w="4514" w:type="dxa"/>
            <w:vAlign w:val="center"/>
          </w:tcPr>
          <w:p w14:paraId="1CDD40E4">
            <w:pPr>
              <w:spacing w:line="360" w:lineRule="exact"/>
              <w:jc w:val="left"/>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采购代理机构结合</w:t>
            </w:r>
            <w:r>
              <w:rPr>
                <w:rFonts w:hint="eastAsia" w:ascii="微软雅黑" w:hAnsi="微软雅黑" w:eastAsia="微软雅黑" w:cs="微软雅黑"/>
                <w:color w:val="auto"/>
                <w:sz w:val="21"/>
                <w:szCs w:val="21"/>
                <w:highlight w:val="none"/>
              </w:rPr>
              <w:t>本项目实际情况、</w:t>
            </w:r>
            <w:r>
              <w:rPr>
                <w:rFonts w:hint="eastAsia" w:ascii="微软雅黑" w:hAnsi="微软雅黑" w:eastAsia="微软雅黑" w:cs="微软雅黑"/>
                <w:color w:val="auto"/>
                <w:kern w:val="0"/>
                <w:sz w:val="21"/>
                <w:szCs w:val="21"/>
                <w:highlight w:val="none"/>
              </w:rPr>
              <w:t>相关政策法规、自身情况和管理内控制度等方面，从政府采购招标代理服务工作的各个方面编制服务方案（包括但不限于拟派团队人员安排、代理公司内控制度、招标代理流程、应急措施、投诉质疑处理方案等采购全过程服务方案），评审人员根据采购代理机构提供的服务方案进行评审；每项起评分2分，单项内容每有一处瑕疵从单项起评分中扣除1分，扣完为止。内容与本项目无关或未提供实施方案的得0分。</w:t>
            </w:r>
          </w:p>
        </w:tc>
        <w:tc>
          <w:tcPr>
            <w:tcW w:w="2500" w:type="dxa"/>
            <w:vMerge w:val="restart"/>
            <w:vAlign w:val="center"/>
          </w:tcPr>
          <w:p w14:paraId="64E16D9F">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1.响应文件中提供书面方案，方案内容不超过100页，超过100页为无效方案，不得分。</w:t>
            </w:r>
          </w:p>
          <w:p w14:paraId="3672241C">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2.本部分所称的“瑕疵”包含但不限于以下内容：</w:t>
            </w:r>
          </w:p>
          <w:p w14:paraId="0EA751CE">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①内容表述不完整或缺少关键分析点或情况介绍说明；</w:t>
            </w:r>
          </w:p>
          <w:p w14:paraId="2945861C">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②无科学合理性、无可行性或先进性；</w:t>
            </w:r>
          </w:p>
          <w:p w14:paraId="06ADAEC5">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③内容表述前后矛盾、无连贯性、内容存在逻辑漏洞；</w:t>
            </w:r>
          </w:p>
          <w:p w14:paraId="372E2482">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④常识性错误；</w:t>
            </w:r>
          </w:p>
          <w:p w14:paraId="3E67AB2A">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⑤并不适用本项目特性或非专门针对本项目制定；</w:t>
            </w:r>
          </w:p>
          <w:p w14:paraId="34628FDB">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⑥不利于本项目目标的实现，不适用于采购人单位现有情况；</w:t>
            </w:r>
          </w:p>
          <w:p w14:paraId="3B9F383D">
            <w:pPr>
              <w:spacing w:line="240" w:lineRule="atLeas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⑦现有技术条件下不可能实现采购目标；上述任意一种情形为1处瑕疵。</w:t>
            </w:r>
          </w:p>
        </w:tc>
      </w:tr>
      <w:tr w14:paraId="792D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9" w:hRule="atLeast"/>
        </w:trPr>
        <w:tc>
          <w:tcPr>
            <w:tcW w:w="436" w:type="dxa"/>
            <w:vMerge w:val="continue"/>
            <w:vAlign w:val="center"/>
          </w:tcPr>
          <w:p w14:paraId="641DC3E0">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14:paraId="3AB77B5C">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14:paraId="01644593">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档案管理方案（</w:t>
            </w:r>
            <w:r>
              <w:rPr>
                <w:rFonts w:hint="eastAsia" w:ascii="微软雅黑" w:hAnsi="微软雅黑" w:eastAsia="微软雅黑" w:cs="微软雅黑"/>
                <w:color w:val="auto"/>
                <w:sz w:val="21"/>
                <w:szCs w:val="21"/>
                <w:highlight w:val="none"/>
                <w:lang w:val="en-US" w:eastAsia="zh-CN"/>
              </w:rPr>
              <w:t>24</w:t>
            </w:r>
            <w:r>
              <w:rPr>
                <w:rFonts w:hint="eastAsia" w:ascii="微软雅黑" w:hAnsi="微软雅黑" w:eastAsia="微软雅黑" w:cs="微软雅黑"/>
                <w:color w:val="auto"/>
                <w:sz w:val="21"/>
                <w:szCs w:val="21"/>
                <w:highlight w:val="none"/>
              </w:rPr>
              <w:t>分）</w:t>
            </w:r>
          </w:p>
        </w:tc>
        <w:tc>
          <w:tcPr>
            <w:tcW w:w="4514" w:type="dxa"/>
            <w:vAlign w:val="center"/>
          </w:tcPr>
          <w:p w14:paraId="7C84A15B">
            <w:pPr>
              <w:widowControl/>
              <w:adjustRightInd w:val="0"/>
              <w:snapToGrid w:val="0"/>
              <w:textAlignment w:val="center"/>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Cs/>
                <w:color w:val="auto"/>
                <w:kern w:val="0"/>
                <w:sz w:val="21"/>
                <w:szCs w:val="21"/>
                <w:highlight w:val="none"/>
              </w:rPr>
              <w:t>依据采购代理机构提供的档案管理方案进行评分，</w:t>
            </w:r>
            <w:r>
              <w:rPr>
                <w:rFonts w:hint="eastAsia" w:ascii="微软雅黑" w:hAnsi="微软雅黑" w:eastAsia="微软雅黑" w:cs="微软雅黑"/>
                <w:color w:val="auto"/>
                <w:kern w:val="0"/>
                <w:sz w:val="21"/>
                <w:szCs w:val="21"/>
                <w:highlight w:val="none"/>
              </w:rPr>
              <w:t>优（包括但不限于档案管理岗位设置、档案管理制度、档案存放内容标准、保密措施、档案移交流程、档案遗失或损毁处理方案等）</w:t>
            </w:r>
            <w:r>
              <w:rPr>
                <w:rFonts w:hint="eastAsia" w:ascii="微软雅黑" w:hAnsi="微软雅黑" w:eastAsia="微软雅黑" w:cs="微软雅黑"/>
                <w:bCs/>
                <w:color w:val="auto"/>
                <w:kern w:val="0"/>
                <w:sz w:val="21"/>
                <w:szCs w:val="21"/>
                <w:highlight w:val="none"/>
              </w:rPr>
              <w:t>：每项起评分</w:t>
            </w:r>
            <w:r>
              <w:rPr>
                <w:rFonts w:hint="eastAsia" w:ascii="微软雅黑" w:hAnsi="微软雅黑" w:eastAsia="微软雅黑" w:cs="微软雅黑"/>
                <w:bCs/>
                <w:color w:val="auto"/>
                <w:kern w:val="0"/>
                <w:sz w:val="21"/>
                <w:szCs w:val="21"/>
                <w:highlight w:val="none"/>
                <w:lang w:val="en-US" w:eastAsia="zh-CN"/>
              </w:rPr>
              <w:t>4</w:t>
            </w:r>
            <w:r>
              <w:rPr>
                <w:rFonts w:hint="eastAsia" w:ascii="微软雅黑" w:hAnsi="微软雅黑" w:eastAsia="微软雅黑" w:cs="微软雅黑"/>
                <w:bCs/>
                <w:color w:val="auto"/>
                <w:kern w:val="0"/>
                <w:sz w:val="21"/>
                <w:szCs w:val="21"/>
                <w:highlight w:val="none"/>
              </w:rPr>
              <w:t>分，单项内容每有一处瑕疵从单项起评分中扣除1分，扣完为止。内容与本项目无关或未提供实施方案的得0分。</w:t>
            </w:r>
          </w:p>
        </w:tc>
        <w:tc>
          <w:tcPr>
            <w:tcW w:w="2500" w:type="dxa"/>
            <w:vMerge w:val="continue"/>
            <w:vAlign w:val="center"/>
          </w:tcPr>
          <w:p w14:paraId="06D7DE01">
            <w:pPr>
              <w:spacing w:line="360" w:lineRule="exact"/>
              <w:rPr>
                <w:rFonts w:hint="eastAsia" w:ascii="微软雅黑" w:hAnsi="微软雅黑" w:eastAsia="微软雅黑" w:cs="微软雅黑"/>
                <w:color w:val="auto"/>
                <w:sz w:val="21"/>
                <w:szCs w:val="21"/>
                <w:highlight w:val="none"/>
              </w:rPr>
            </w:pPr>
          </w:p>
        </w:tc>
      </w:tr>
      <w:tr w14:paraId="0E0B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436" w:type="dxa"/>
            <w:vMerge w:val="continue"/>
            <w:vAlign w:val="center"/>
          </w:tcPr>
          <w:p w14:paraId="366B3BFD">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14:paraId="5618CC4C">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14:paraId="65D325D6">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开评标室配置（10分）</w:t>
            </w:r>
          </w:p>
        </w:tc>
        <w:tc>
          <w:tcPr>
            <w:tcW w:w="4514" w:type="dxa"/>
            <w:vAlign w:val="center"/>
          </w:tcPr>
          <w:p w14:paraId="56FF16E3">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供应商应</w:t>
            </w:r>
            <w:bookmarkStart w:id="50" w:name="OLE_LINK4"/>
            <w:r>
              <w:rPr>
                <w:rFonts w:hint="eastAsia" w:ascii="微软雅黑" w:hAnsi="微软雅黑" w:eastAsia="微软雅黑" w:cs="微软雅黑"/>
                <w:bCs/>
                <w:color w:val="auto"/>
                <w:kern w:val="0"/>
                <w:sz w:val="21"/>
                <w:szCs w:val="21"/>
                <w:highlight w:val="none"/>
              </w:rPr>
              <w:t>提供“开评标室”证明材料</w:t>
            </w:r>
            <w:bookmarkEnd w:id="50"/>
            <w:r>
              <w:rPr>
                <w:rFonts w:hint="eastAsia" w:ascii="微软雅黑" w:hAnsi="微软雅黑" w:eastAsia="微软雅黑" w:cs="微软雅黑"/>
                <w:bCs/>
                <w:color w:val="auto"/>
                <w:kern w:val="0"/>
                <w:sz w:val="21"/>
                <w:szCs w:val="21"/>
                <w:highlight w:val="none"/>
              </w:rPr>
              <w:t>，包括但不限于：开标室、评标室、监控设备。提供上述全部证明材料得5分，根据各供应商提供的证明材料进行综合对比，在满足上述要求上，配置合理加5分，配置一般加2分，未提供或未按要求提供得0分，本项满分为10分。</w:t>
            </w:r>
          </w:p>
        </w:tc>
        <w:tc>
          <w:tcPr>
            <w:tcW w:w="2500" w:type="dxa"/>
            <w:vAlign w:val="center"/>
          </w:tcPr>
          <w:p w14:paraId="37ACE141">
            <w:pPr>
              <w:spacing w:line="36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bCs/>
                <w:color w:val="auto"/>
                <w:kern w:val="0"/>
                <w:sz w:val="21"/>
                <w:szCs w:val="21"/>
                <w:highlight w:val="none"/>
              </w:rPr>
              <w:t>提供“开评标室”证明材料</w:t>
            </w:r>
          </w:p>
        </w:tc>
      </w:tr>
      <w:tr w14:paraId="62A7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436" w:type="dxa"/>
            <w:vMerge w:val="restart"/>
            <w:vAlign w:val="center"/>
          </w:tcPr>
          <w:p w14:paraId="2727913F">
            <w:pPr>
              <w:spacing w:line="240" w:lineRule="atLeast"/>
              <w:ind w:firstLine="28"/>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w:t>
            </w:r>
          </w:p>
        </w:tc>
        <w:tc>
          <w:tcPr>
            <w:tcW w:w="1090" w:type="dxa"/>
            <w:vMerge w:val="restart"/>
            <w:vAlign w:val="center"/>
          </w:tcPr>
          <w:p w14:paraId="46E9FCF3">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商务部分</w:t>
            </w:r>
          </w:p>
          <w:p w14:paraId="2BDB3C56">
            <w:pPr>
              <w:spacing w:line="240" w:lineRule="atLeast"/>
              <w:ind w:firstLine="28"/>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（4</w:t>
            </w:r>
            <w:r>
              <w:rPr>
                <w:rFonts w:hint="eastAsia" w:ascii="微软雅黑" w:hAnsi="微软雅黑" w:eastAsia="微软雅黑" w:cs="微软雅黑"/>
                <w:color w:val="auto"/>
                <w:sz w:val="21"/>
                <w:szCs w:val="21"/>
                <w:highlight w:val="none"/>
                <w:lang w:val="en-US" w:eastAsia="zh-CN"/>
              </w:rPr>
              <w:t>5</w:t>
            </w:r>
            <w:r>
              <w:rPr>
                <w:rFonts w:hint="eastAsia" w:ascii="微软雅黑" w:hAnsi="微软雅黑" w:eastAsia="微软雅黑" w:cs="微软雅黑"/>
                <w:color w:val="auto"/>
                <w:sz w:val="21"/>
                <w:szCs w:val="21"/>
                <w:highlight w:val="none"/>
              </w:rPr>
              <w:t>%）</w:t>
            </w:r>
          </w:p>
        </w:tc>
        <w:tc>
          <w:tcPr>
            <w:tcW w:w="1333" w:type="dxa"/>
            <w:vAlign w:val="center"/>
          </w:tcPr>
          <w:p w14:paraId="75CC2195">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业绩（</w:t>
            </w:r>
            <w:r>
              <w:rPr>
                <w:rFonts w:hint="eastAsia" w:ascii="微软雅黑" w:hAnsi="微软雅黑" w:eastAsia="微软雅黑" w:cs="微软雅黑"/>
                <w:color w:val="auto"/>
                <w:sz w:val="21"/>
                <w:szCs w:val="21"/>
                <w:highlight w:val="none"/>
                <w:lang w:val="en-US" w:eastAsia="zh-CN"/>
              </w:rPr>
              <w:t>20</w:t>
            </w:r>
            <w:r>
              <w:rPr>
                <w:rFonts w:hint="eastAsia" w:ascii="微软雅黑" w:hAnsi="微软雅黑" w:eastAsia="微软雅黑" w:cs="微软雅黑"/>
                <w:color w:val="auto"/>
                <w:sz w:val="21"/>
                <w:szCs w:val="21"/>
                <w:highlight w:val="none"/>
              </w:rPr>
              <w:t>分）</w:t>
            </w:r>
          </w:p>
        </w:tc>
        <w:tc>
          <w:tcPr>
            <w:tcW w:w="4514" w:type="dxa"/>
            <w:vAlign w:val="center"/>
          </w:tcPr>
          <w:p w14:paraId="42AF63B7">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1.202</w:t>
            </w:r>
            <w:r>
              <w:rPr>
                <w:rFonts w:hint="eastAsia" w:ascii="微软雅黑" w:hAnsi="微软雅黑" w:eastAsia="微软雅黑" w:cs="微软雅黑"/>
                <w:bCs/>
                <w:color w:val="auto"/>
                <w:kern w:val="0"/>
                <w:sz w:val="21"/>
                <w:szCs w:val="21"/>
                <w:highlight w:val="none"/>
                <w:lang w:val="en-US" w:eastAsia="zh-CN"/>
              </w:rPr>
              <w:t>3</w:t>
            </w:r>
            <w:r>
              <w:rPr>
                <w:rFonts w:hint="eastAsia" w:ascii="微软雅黑" w:hAnsi="微软雅黑" w:eastAsia="微软雅黑" w:cs="微软雅黑"/>
                <w:bCs/>
                <w:color w:val="auto"/>
                <w:kern w:val="0"/>
                <w:sz w:val="21"/>
                <w:szCs w:val="21"/>
                <w:highlight w:val="none"/>
              </w:rPr>
              <w:t>年1月1日起至今供应商累计代理政府采购项目采购人个数，每提供1个得1分，满分</w:t>
            </w:r>
            <w:r>
              <w:rPr>
                <w:rFonts w:hint="eastAsia" w:ascii="微软雅黑" w:hAnsi="微软雅黑" w:eastAsia="微软雅黑" w:cs="微软雅黑"/>
                <w:bCs/>
                <w:color w:val="auto"/>
                <w:kern w:val="0"/>
                <w:sz w:val="21"/>
                <w:szCs w:val="21"/>
                <w:highlight w:val="none"/>
                <w:lang w:val="en-US" w:eastAsia="zh-CN"/>
              </w:rPr>
              <w:t>10</w:t>
            </w:r>
            <w:r>
              <w:rPr>
                <w:rFonts w:hint="eastAsia" w:ascii="微软雅黑" w:hAnsi="微软雅黑" w:eastAsia="微软雅黑" w:cs="微软雅黑"/>
                <w:bCs/>
                <w:color w:val="auto"/>
                <w:kern w:val="0"/>
                <w:sz w:val="21"/>
                <w:szCs w:val="21"/>
                <w:highlight w:val="none"/>
              </w:rPr>
              <w:t>分。</w:t>
            </w:r>
          </w:p>
          <w:p w14:paraId="71153515">
            <w:pPr>
              <w:widowControl/>
              <w:adjustRightInd w:val="0"/>
              <w:snapToGrid w:val="0"/>
              <w:textAlignment w:val="center"/>
              <w:rPr>
                <w:rFonts w:hint="default" w:ascii="微软雅黑" w:hAnsi="微软雅黑" w:eastAsia="微软雅黑" w:cs="微软雅黑"/>
                <w:bCs/>
                <w:color w:val="auto"/>
                <w:kern w:val="0"/>
                <w:sz w:val="21"/>
                <w:szCs w:val="21"/>
                <w:highlight w:val="none"/>
                <w:lang w:val="en-US" w:eastAsia="zh-CN"/>
              </w:rPr>
            </w:pPr>
            <w:r>
              <w:rPr>
                <w:rFonts w:hint="eastAsia" w:ascii="微软雅黑" w:hAnsi="微软雅黑" w:eastAsia="微软雅黑" w:cs="微软雅黑"/>
                <w:bCs/>
                <w:color w:val="auto"/>
                <w:kern w:val="0"/>
                <w:sz w:val="21"/>
                <w:szCs w:val="21"/>
                <w:highlight w:val="none"/>
              </w:rPr>
              <w:t>2.202</w:t>
            </w:r>
            <w:r>
              <w:rPr>
                <w:rFonts w:hint="eastAsia" w:ascii="微软雅黑" w:hAnsi="微软雅黑" w:eastAsia="微软雅黑" w:cs="微软雅黑"/>
                <w:bCs/>
                <w:color w:val="auto"/>
                <w:kern w:val="0"/>
                <w:sz w:val="21"/>
                <w:szCs w:val="21"/>
                <w:highlight w:val="none"/>
                <w:lang w:val="en-US" w:eastAsia="zh-CN"/>
              </w:rPr>
              <w:t>3</w:t>
            </w:r>
            <w:r>
              <w:rPr>
                <w:rFonts w:hint="eastAsia" w:ascii="微软雅黑" w:hAnsi="微软雅黑" w:eastAsia="微软雅黑" w:cs="微软雅黑"/>
                <w:bCs/>
                <w:color w:val="auto"/>
                <w:kern w:val="0"/>
                <w:sz w:val="21"/>
                <w:szCs w:val="21"/>
                <w:highlight w:val="none"/>
              </w:rPr>
              <w:t>年1月1日起至今供应商累计代理的政府采购项目数量，每提供1个得1分，满分</w:t>
            </w:r>
            <w:r>
              <w:rPr>
                <w:rFonts w:hint="eastAsia" w:ascii="微软雅黑" w:hAnsi="微软雅黑" w:eastAsia="微软雅黑" w:cs="微软雅黑"/>
                <w:bCs/>
                <w:color w:val="auto"/>
                <w:kern w:val="0"/>
                <w:sz w:val="21"/>
                <w:szCs w:val="21"/>
                <w:highlight w:val="none"/>
                <w:lang w:val="en-US" w:eastAsia="zh-CN"/>
              </w:rPr>
              <w:t>10</w:t>
            </w:r>
            <w:r>
              <w:rPr>
                <w:rFonts w:hint="eastAsia" w:ascii="微软雅黑" w:hAnsi="微软雅黑" w:eastAsia="微软雅黑" w:cs="微软雅黑"/>
                <w:bCs/>
                <w:color w:val="auto"/>
                <w:kern w:val="0"/>
                <w:sz w:val="21"/>
                <w:szCs w:val="21"/>
                <w:highlight w:val="none"/>
              </w:rPr>
              <w:t>分。</w:t>
            </w:r>
          </w:p>
        </w:tc>
        <w:tc>
          <w:tcPr>
            <w:tcW w:w="2500" w:type="dxa"/>
            <w:shd w:val="clear" w:color="auto" w:fill="auto"/>
            <w:vAlign w:val="center"/>
          </w:tcPr>
          <w:p w14:paraId="10C04A97">
            <w:pPr>
              <w:widowControl/>
              <w:adjustRightInd w:val="0"/>
              <w:snapToGrid w:val="0"/>
              <w:spacing w:line="240" w:lineRule="auto"/>
              <w:jc w:val="left"/>
              <w:textAlignment w:val="center"/>
              <w:rPr>
                <w:rFonts w:hint="eastAsia" w:ascii="微软雅黑" w:hAnsi="微软雅黑" w:eastAsia="微软雅黑" w:cs="微软雅黑"/>
                <w:bCs/>
                <w:color w:val="auto"/>
                <w:kern w:val="0"/>
                <w:sz w:val="21"/>
                <w:szCs w:val="21"/>
                <w:highlight w:val="none"/>
                <w:lang w:val="en-US" w:eastAsia="zh-CN" w:bidi="ar-SA"/>
              </w:rPr>
            </w:pPr>
            <w:r>
              <w:rPr>
                <w:rFonts w:hint="eastAsia" w:ascii="微软雅黑" w:hAnsi="微软雅黑" w:eastAsia="微软雅黑" w:cs="微软雅黑"/>
                <w:bCs/>
                <w:color w:val="auto"/>
                <w:kern w:val="0"/>
                <w:sz w:val="21"/>
                <w:szCs w:val="21"/>
                <w:highlight w:val="none"/>
                <w:vertAlign w:val="baseline"/>
              </w:rPr>
              <w:t>第1条和第2条提供政府采购主管部门盖章的或政府采购系统相关证明文件</w:t>
            </w:r>
            <w:r>
              <w:rPr>
                <w:rFonts w:hint="eastAsia" w:ascii="微软雅黑" w:hAnsi="微软雅黑" w:eastAsia="微软雅黑" w:cs="微软雅黑"/>
                <w:bCs/>
                <w:color w:val="auto"/>
                <w:kern w:val="0"/>
                <w:sz w:val="21"/>
                <w:szCs w:val="21"/>
                <w:highlight w:val="none"/>
                <w:vertAlign w:val="baseline"/>
                <w:lang w:eastAsia="zh-CN"/>
              </w:rPr>
              <w:t>（</w:t>
            </w:r>
            <w:r>
              <w:rPr>
                <w:rFonts w:hint="eastAsia" w:ascii="微软雅黑" w:hAnsi="微软雅黑" w:eastAsia="微软雅黑" w:cs="微软雅黑"/>
                <w:bCs/>
                <w:color w:val="auto"/>
                <w:kern w:val="0"/>
                <w:sz w:val="21"/>
                <w:szCs w:val="21"/>
                <w:highlight w:val="none"/>
                <w:vertAlign w:val="baseline"/>
              </w:rPr>
              <w:t>如采购计划表</w:t>
            </w:r>
            <w:r>
              <w:rPr>
                <w:rFonts w:hint="eastAsia" w:ascii="微软雅黑" w:hAnsi="微软雅黑" w:eastAsia="微软雅黑" w:cs="微软雅黑"/>
                <w:bCs/>
                <w:color w:val="auto"/>
                <w:kern w:val="0"/>
                <w:sz w:val="21"/>
                <w:szCs w:val="21"/>
                <w:highlight w:val="none"/>
                <w:vertAlign w:val="baseline"/>
                <w:lang w:eastAsia="zh-CN"/>
              </w:rPr>
              <w:t>）</w:t>
            </w:r>
            <w:r>
              <w:rPr>
                <w:rFonts w:hint="eastAsia" w:ascii="微软雅黑" w:hAnsi="微软雅黑" w:eastAsia="微软雅黑" w:cs="微软雅黑"/>
                <w:bCs/>
                <w:color w:val="auto"/>
                <w:kern w:val="0"/>
                <w:sz w:val="21"/>
                <w:szCs w:val="21"/>
                <w:highlight w:val="none"/>
                <w:vertAlign w:val="baseline"/>
                <w:lang w:val="en-US" w:eastAsia="zh-CN"/>
              </w:rPr>
              <w:t>或采购代理合同</w:t>
            </w:r>
            <w:r>
              <w:rPr>
                <w:rFonts w:hint="eastAsia" w:ascii="微软雅黑" w:hAnsi="微软雅黑" w:eastAsia="微软雅黑" w:cs="微软雅黑"/>
                <w:bCs/>
                <w:color w:val="auto"/>
                <w:kern w:val="0"/>
                <w:sz w:val="21"/>
                <w:szCs w:val="21"/>
                <w:highlight w:val="none"/>
                <w:vertAlign w:val="baseline"/>
              </w:rPr>
              <w:t>复印件并加盖供应商公章</w:t>
            </w:r>
            <w:r>
              <w:rPr>
                <w:rFonts w:hint="eastAsia" w:ascii="微软雅黑" w:hAnsi="微软雅黑" w:eastAsia="微软雅黑" w:cs="微软雅黑"/>
                <w:bCs/>
                <w:color w:val="auto"/>
                <w:kern w:val="0"/>
                <w:sz w:val="21"/>
                <w:szCs w:val="21"/>
                <w:highlight w:val="none"/>
                <w:vertAlign w:val="baseline"/>
                <w:lang w:eastAsia="zh-CN"/>
              </w:rPr>
              <w:t>；</w:t>
            </w:r>
          </w:p>
        </w:tc>
      </w:tr>
      <w:tr w14:paraId="25C69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436" w:type="dxa"/>
            <w:vMerge w:val="continue"/>
            <w:vAlign w:val="center"/>
          </w:tcPr>
          <w:p w14:paraId="251E62FF">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14:paraId="19E232B0">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14:paraId="65DC8A18">
            <w:pPr>
              <w:widowControl/>
              <w:adjustRightInd w:val="0"/>
              <w:snapToGrid w:val="0"/>
              <w:jc w:val="center"/>
              <w:textAlignment w:val="center"/>
              <w:rPr>
                <w:rFonts w:hint="default" w:ascii="微软雅黑" w:hAnsi="微软雅黑" w:eastAsia="微软雅黑" w:cs="微软雅黑"/>
                <w:bCs/>
                <w:color w:val="auto"/>
                <w:kern w:val="0"/>
                <w:sz w:val="21"/>
                <w:szCs w:val="21"/>
                <w:highlight w:val="none"/>
                <w:lang w:val="en-US" w:eastAsia="zh-CN"/>
              </w:rPr>
            </w:pPr>
            <w:r>
              <w:rPr>
                <w:rFonts w:hint="eastAsia" w:ascii="微软雅黑" w:hAnsi="微软雅黑" w:eastAsia="微软雅黑" w:cs="微软雅黑"/>
                <w:bCs/>
                <w:color w:val="auto"/>
                <w:kern w:val="0"/>
                <w:sz w:val="21"/>
                <w:szCs w:val="21"/>
                <w:highlight w:val="none"/>
                <w:lang w:val="en-US" w:eastAsia="zh-CN"/>
              </w:rPr>
              <w:t>法律支撑（2分）</w:t>
            </w:r>
          </w:p>
        </w:tc>
        <w:tc>
          <w:tcPr>
            <w:tcW w:w="4514" w:type="dxa"/>
            <w:vAlign w:val="center"/>
          </w:tcPr>
          <w:p w14:paraId="29ADBE24">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比选申请人与律师事务所建立合作关系，可为比选申请人提供常年法律顾问服务，法律咨询的且在有效期服务期内得</w:t>
            </w:r>
            <w:r>
              <w:rPr>
                <w:rFonts w:hint="eastAsia" w:ascii="微软雅黑" w:hAnsi="微软雅黑" w:eastAsia="微软雅黑" w:cs="微软雅黑"/>
                <w:bCs/>
                <w:color w:val="auto"/>
                <w:kern w:val="0"/>
                <w:sz w:val="21"/>
                <w:szCs w:val="21"/>
                <w:highlight w:val="none"/>
                <w:lang w:eastAsia="zh-CN"/>
              </w:rPr>
              <w:t>2</w:t>
            </w:r>
            <w:r>
              <w:rPr>
                <w:rFonts w:hint="eastAsia" w:ascii="微软雅黑" w:hAnsi="微软雅黑" w:eastAsia="微软雅黑" w:cs="微软雅黑"/>
                <w:bCs/>
                <w:color w:val="auto"/>
                <w:kern w:val="0"/>
                <w:sz w:val="21"/>
                <w:szCs w:val="21"/>
                <w:highlight w:val="none"/>
              </w:rPr>
              <w:t>分。</w:t>
            </w:r>
          </w:p>
        </w:tc>
        <w:tc>
          <w:tcPr>
            <w:tcW w:w="2500" w:type="dxa"/>
            <w:vAlign w:val="center"/>
          </w:tcPr>
          <w:p w14:paraId="70933FEB">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提供双方签订的</w:t>
            </w:r>
            <w:r>
              <w:rPr>
                <w:rFonts w:hint="eastAsia" w:ascii="微软雅黑" w:hAnsi="微软雅黑" w:eastAsia="微软雅黑" w:cs="微软雅黑"/>
                <w:bCs/>
                <w:color w:val="auto"/>
                <w:kern w:val="0"/>
                <w:sz w:val="21"/>
                <w:szCs w:val="21"/>
                <w:highlight w:val="none"/>
                <w:lang w:val="en-US" w:eastAsia="zh-CN"/>
              </w:rPr>
              <w:t>法律咨询服务类</w:t>
            </w:r>
            <w:r>
              <w:rPr>
                <w:rFonts w:hint="eastAsia" w:ascii="微软雅黑" w:hAnsi="微软雅黑" w:eastAsia="微软雅黑" w:cs="微软雅黑"/>
                <w:bCs/>
                <w:color w:val="auto"/>
                <w:kern w:val="0"/>
                <w:sz w:val="21"/>
                <w:szCs w:val="21"/>
                <w:highlight w:val="none"/>
              </w:rPr>
              <w:t>委托协议扫描件，合同期至少覆盖本项目服务期</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rPr>
              <w:t>否则需提供承诺函，承诺法律咨询服务类</w:t>
            </w:r>
            <w:r>
              <w:rPr>
                <w:rFonts w:hint="eastAsia" w:ascii="微软雅黑" w:hAnsi="微软雅黑" w:eastAsia="微软雅黑" w:cs="微软雅黑"/>
                <w:bCs/>
                <w:color w:val="auto"/>
                <w:kern w:val="0"/>
                <w:sz w:val="21"/>
                <w:szCs w:val="21"/>
                <w:highlight w:val="none"/>
                <w:lang w:val="en-US" w:eastAsia="zh-CN"/>
              </w:rPr>
              <w:t>委托合同到期前将续签或重新签订新合同</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lang w:val="en-US" w:eastAsia="zh-CN"/>
              </w:rPr>
              <w:t>未提供不得分</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rPr>
              <w:t>。</w:t>
            </w:r>
          </w:p>
        </w:tc>
      </w:tr>
      <w:tr w14:paraId="7C27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436" w:type="dxa"/>
            <w:vMerge w:val="continue"/>
            <w:vAlign w:val="center"/>
          </w:tcPr>
          <w:p w14:paraId="271AC6E8">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14:paraId="3B8475C0">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14:paraId="736C0C9B">
            <w:pPr>
              <w:widowControl/>
              <w:adjustRightInd w:val="0"/>
              <w:snapToGrid w:val="0"/>
              <w:jc w:val="center"/>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在渝规范存档资料</w:t>
            </w:r>
          </w:p>
          <w:p w14:paraId="065B3D59">
            <w:pPr>
              <w:widowControl/>
              <w:adjustRightInd w:val="0"/>
              <w:snapToGrid w:val="0"/>
              <w:jc w:val="center"/>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w:t>
            </w:r>
            <w:r>
              <w:rPr>
                <w:rFonts w:hint="default" w:ascii="微软雅黑" w:hAnsi="微软雅黑" w:eastAsia="微软雅黑" w:cs="微软雅黑"/>
                <w:bCs/>
                <w:color w:val="auto"/>
                <w:kern w:val="0"/>
                <w:sz w:val="21"/>
                <w:szCs w:val="21"/>
                <w:highlight w:val="none"/>
                <w:lang w:val="en-US"/>
              </w:rPr>
              <w:t>3</w:t>
            </w:r>
            <w:r>
              <w:rPr>
                <w:rFonts w:hint="eastAsia" w:ascii="微软雅黑" w:hAnsi="微软雅黑" w:eastAsia="微软雅黑" w:cs="微软雅黑"/>
                <w:bCs/>
                <w:color w:val="auto"/>
                <w:kern w:val="0"/>
                <w:sz w:val="21"/>
                <w:szCs w:val="21"/>
                <w:highlight w:val="none"/>
              </w:rPr>
              <w:t>分）</w:t>
            </w:r>
          </w:p>
        </w:tc>
        <w:tc>
          <w:tcPr>
            <w:tcW w:w="4514" w:type="dxa"/>
            <w:vAlign w:val="center"/>
          </w:tcPr>
          <w:p w14:paraId="1444A01A">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提供采购存档资料保管年限在15年以上的项目，提供一个得</w:t>
            </w:r>
            <w:r>
              <w:rPr>
                <w:rFonts w:hint="default" w:ascii="微软雅黑" w:hAnsi="微软雅黑" w:eastAsia="微软雅黑" w:cs="微软雅黑"/>
                <w:bCs/>
                <w:color w:val="auto"/>
                <w:kern w:val="0"/>
                <w:sz w:val="21"/>
                <w:szCs w:val="21"/>
                <w:highlight w:val="none"/>
                <w:lang w:val="en-US"/>
              </w:rPr>
              <w:t>1.5</w:t>
            </w:r>
            <w:r>
              <w:rPr>
                <w:rFonts w:hint="eastAsia" w:ascii="微软雅黑" w:hAnsi="微软雅黑" w:eastAsia="微软雅黑" w:cs="微软雅黑"/>
                <w:bCs/>
                <w:color w:val="auto"/>
                <w:kern w:val="0"/>
                <w:sz w:val="21"/>
                <w:szCs w:val="21"/>
                <w:highlight w:val="none"/>
              </w:rPr>
              <w:t>分，最多得</w:t>
            </w:r>
            <w:r>
              <w:rPr>
                <w:rFonts w:hint="default" w:ascii="微软雅黑" w:hAnsi="微软雅黑" w:eastAsia="微软雅黑" w:cs="微软雅黑"/>
                <w:bCs/>
                <w:color w:val="auto"/>
                <w:kern w:val="0"/>
                <w:sz w:val="21"/>
                <w:szCs w:val="21"/>
                <w:highlight w:val="none"/>
                <w:lang w:val="en-US"/>
              </w:rPr>
              <w:t>3</w:t>
            </w:r>
            <w:r>
              <w:rPr>
                <w:rFonts w:hint="eastAsia" w:ascii="微软雅黑" w:hAnsi="微软雅黑" w:eastAsia="微软雅黑" w:cs="微软雅黑"/>
                <w:bCs/>
                <w:color w:val="auto"/>
                <w:kern w:val="0"/>
                <w:sz w:val="21"/>
                <w:szCs w:val="21"/>
                <w:highlight w:val="none"/>
              </w:rPr>
              <w:t>分。</w:t>
            </w:r>
          </w:p>
        </w:tc>
        <w:tc>
          <w:tcPr>
            <w:tcW w:w="2500" w:type="dxa"/>
            <w:vAlign w:val="center"/>
          </w:tcPr>
          <w:p w14:paraId="4052D62C">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提供清单明细表（内容应包含：序号、项目名称、采购公告、开标时间、采购人单位名称及联系电话、代理合同等），并承诺提供</w:t>
            </w:r>
            <w:r>
              <w:rPr>
                <w:rFonts w:hint="eastAsia" w:ascii="微软雅黑" w:hAnsi="微软雅黑" w:eastAsia="微软雅黑" w:cs="微软雅黑"/>
                <w:bCs/>
                <w:color w:val="auto"/>
                <w:kern w:val="0"/>
                <w:sz w:val="21"/>
                <w:szCs w:val="21"/>
                <w:highlight w:val="none"/>
                <w:lang w:eastAsia="zh-CN"/>
              </w:rPr>
              <w:t>资料</w:t>
            </w:r>
            <w:r>
              <w:rPr>
                <w:rFonts w:hint="eastAsia" w:ascii="微软雅黑" w:hAnsi="微软雅黑" w:eastAsia="微软雅黑" w:cs="微软雅黑"/>
                <w:bCs/>
                <w:color w:val="auto"/>
                <w:kern w:val="0"/>
                <w:sz w:val="21"/>
                <w:szCs w:val="21"/>
                <w:highlight w:val="none"/>
              </w:rPr>
              <w:t>属实。</w:t>
            </w:r>
          </w:p>
        </w:tc>
      </w:tr>
      <w:tr w14:paraId="0406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436" w:type="dxa"/>
            <w:vMerge w:val="continue"/>
            <w:vAlign w:val="center"/>
          </w:tcPr>
          <w:p w14:paraId="391E45BD">
            <w:pPr>
              <w:spacing w:line="240" w:lineRule="atLeast"/>
              <w:ind w:firstLine="28"/>
              <w:jc w:val="center"/>
              <w:rPr>
                <w:rFonts w:hint="eastAsia" w:ascii="微软雅黑" w:hAnsi="微软雅黑" w:eastAsia="微软雅黑" w:cs="微软雅黑"/>
                <w:color w:val="auto"/>
                <w:sz w:val="21"/>
                <w:szCs w:val="21"/>
                <w:highlight w:val="none"/>
              </w:rPr>
            </w:pPr>
          </w:p>
        </w:tc>
        <w:tc>
          <w:tcPr>
            <w:tcW w:w="1090" w:type="dxa"/>
            <w:vMerge w:val="continue"/>
            <w:vAlign w:val="center"/>
          </w:tcPr>
          <w:p w14:paraId="41697531">
            <w:pPr>
              <w:spacing w:line="240" w:lineRule="atLeast"/>
              <w:ind w:firstLine="28"/>
              <w:rPr>
                <w:rFonts w:hint="eastAsia" w:ascii="微软雅黑" w:hAnsi="微软雅黑" w:eastAsia="微软雅黑" w:cs="微软雅黑"/>
                <w:color w:val="auto"/>
                <w:sz w:val="21"/>
                <w:szCs w:val="21"/>
                <w:highlight w:val="none"/>
              </w:rPr>
            </w:pPr>
          </w:p>
        </w:tc>
        <w:tc>
          <w:tcPr>
            <w:tcW w:w="1333" w:type="dxa"/>
            <w:vAlign w:val="center"/>
          </w:tcPr>
          <w:p w14:paraId="0E469AAC">
            <w:pPr>
              <w:spacing w:line="360" w:lineRule="exact"/>
              <w:jc w:val="center"/>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团队人员</w:t>
            </w:r>
          </w:p>
          <w:p w14:paraId="0CD72293">
            <w:pPr>
              <w:spacing w:line="360" w:lineRule="exact"/>
              <w:jc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color w:val="auto"/>
                <w:sz w:val="21"/>
                <w:szCs w:val="21"/>
                <w:highlight w:val="none"/>
              </w:rPr>
              <w:t>（20分）</w:t>
            </w:r>
          </w:p>
        </w:tc>
        <w:tc>
          <w:tcPr>
            <w:tcW w:w="4514" w:type="dxa"/>
            <w:vAlign w:val="center"/>
          </w:tcPr>
          <w:p w14:paraId="1AF2C17A">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1.拟派本项目的项目负责人</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lang w:val="en-US" w:eastAsia="zh-CN"/>
              </w:rPr>
              <w:t>7分</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rPr>
              <w:t>：</w:t>
            </w:r>
          </w:p>
          <w:p w14:paraId="5ACAC0E1">
            <w:pPr>
              <w:widowControl/>
              <w:numPr>
                <w:ilvl w:val="0"/>
                <w:numId w:val="0"/>
              </w:numPr>
              <w:adjustRightInd w:val="0"/>
              <w:snapToGrid w:val="0"/>
              <w:ind w:leftChars="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具备研究生以上学历得2分；本科及以上学历的得1分，</w:t>
            </w:r>
            <w:r>
              <w:rPr>
                <w:rFonts w:hint="eastAsia" w:ascii="微软雅黑" w:hAnsi="微软雅黑" w:eastAsia="微软雅黑" w:cs="微软雅黑"/>
                <w:bCs/>
                <w:color w:val="auto"/>
                <w:kern w:val="0"/>
                <w:sz w:val="21"/>
                <w:szCs w:val="21"/>
                <w:highlight w:val="none"/>
                <w:lang w:val="en-US" w:eastAsia="zh-CN"/>
              </w:rPr>
              <w:t>本条款</w:t>
            </w:r>
            <w:r>
              <w:rPr>
                <w:rFonts w:hint="eastAsia" w:ascii="微软雅黑" w:hAnsi="微软雅黑" w:eastAsia="微软雅黑" w:cs="微软雅黑"/>
                <w:bCs/>
                <w:color w:val="auto"/>
                <w:kern w:val="0"/>
                <w:sz w:val="21"/>
                <w:szCs w:val="21"/>
                <w:highlight w:val="none"/>
              </w:rPr>
              <w:t>最高2分；</w:t>
            </w:r>
          </w:p>
          <w:p w14:paraId="485647AE">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具备经济类或工程类高级职称的得5分；具备经济类或工程类中级职称的得3分，具备经济类或工程类初级或助理职称的得1分。本条款最高5分（经济类、工程类职称证书不得重复计分）；</w:t>
            </w:r>
          </w:p>
          <w:p w14:paraId="4AB83452">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2.拟派本项目团队人员中具备招标师或</w:t>
            </w:r>
            <w:r>
              <w:rPr>
                <w:rFonts w:hint="eastAsia" w:ascii="微软雅黑" w:hAnsi="微软雅黑" w:eastAsia="微软雅黑" w:cs="微软雅黑"/>
                <w:bCs/>
                <w:color w:val="auto"/>
                <w:kern w:val="0"/>
                <w:sz w:val="21"/>
                <w:szCs w:val="21"/>
                <w:highlight w:val="none"/>
                <w:lang w:val="en-US" w:eastAsia="zh-CN"/>
              </w:rPr>
              <w:t>采购</w:t>
            </w:r>
            <w:r>
              <w:rPr>
                <w:rFonts w:hint="eastAsia" w:ascii="微软雅黑" w:hAnsi="微软雅黑" w:eastAsia="微软雅黑" w:cs="微软雅黑"/>
                <w:bCs/>
                <w:color w:val="auto"/>
                <w:kern w:val="0"/>
                <w:sz w:val="21"/>
                <w:szCs w:val="21"/>
                <w:highlight w:val="none"/>
              </w:rPr>
              <w:t>师证书的得4分；</w:t>
            </w:r>
          </w:p>
          <w:p w14:paraId="1BB7A255">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3.拟派本项目团队人员中</w:t>
            </w:r>
            <w:r>
              <w:rPr>
                <w:rFonts w:hint="eastAsia" w:ascii="微软雅黑" w:hAnsi="微软雅黑" w:eastAsia="微软雅黑" w:cs="微软雅黑"/>
                <w:bCs/>
                <w:color w:val="auto"/>
                <w:kern w:val="0"/>
                <w:sz w:val="21"/>
                <w:szCs w:val="21"/>
                <w:highlight w:val="none"/>
                <w:lang w:eastAsia="zh-CN"/>
              </w:rPr>
              <w:t>，</w:t>
            </w:r>
            <w:r>
              <w:rPr>
                <w:rFonts w:hint="eastAsia" w:ascii="微软雅黑" w:hAnsi="微软雅黑" w:eastAsia="微软雅黑" w:cs="微软雅黑"/>
                <w:bCs/>
                <w:color w:val="auto"/>
                <w:kern w:val="0"/>
                <w:sz w:val="21"/>
                <w:szCs w:val="21"/>
                <w:highlight w:val="none"/>
              </w:rPr>
              <w:t>具备</w:t>
            </w:r>
            <w:r>
              <w:rPr>
                <w:rFonts w:hint="eastAsia" w:ascii="微软雅黑" w:hAnsi="微软雅黑" w:eastAsia="微软雅黑" w:cs="微软雅黑"/>
                <w:bCs/>
                <w:color w:val="auto"/>
                <w:kern w:val="0"/>
                <w:sz w:val="21"/>
                <w:szCs w:val="21"/>
                <w:highlight w:val="none"/>
                <w:lang w:val="en-US" w:eastAsia="zh-CN"/>
              </w:rPr>
              <w:t>近3</w:t>
            </w:r>
            <w:r>
              <w:rPr>
                <w:rFonts w:hint="eastAsia" w:ascii="微软雅黑" w:hAnsi="微软雅黑" w:eastAsia="微软雅黑" w:cs="微软雅黑"/>
                <w:bCs/>
                <w:color w:val="auto"/>
                <w:kern w:val="0"/>
                <w:sz w:val="21"/>
                <w:szCs w:val="21"/>
                <w:highlight w:val="none"/>
              </w:rPr>
              <w:t>年</w:t>
            </w:r>
            <w:r>
              <w:rPr>
                <w:rFonts w:hint="eastAsia" w:ascii="微软雅黑" w:hAnsi="微软雅黑" w:eastAsia="微软雅黑" w:cs="微软雅黑"/>
                <w:bCs/>
                <w:color w:val="auto"/>
                <w:kern w:val="0"/>
                <w:sz w:val="21"/>
                <w:szCs w:val="21"/>
                <w:highlight w:val="none"/>
                <w:lang w:val="en-US" w:eastAsia="zh-CN"/>
              </w:rPr>
              <w:t>中任意一年</w:t>
            </w:r>
            <w:r>
              <w:rPr>
                <w:rFonts w:hint="eastAsia" w:ascii="微软雅黑" w:hAnsi="微软雅黑" w:eastAsia="微软雅黑" w:cs="微软雅黑"/>
                <w:bCs/>
                <w:color w:val="auto"/>
                <w:kern w:val="0"/>
                <w:sz w:val="21"/>
                <w:szCs w:val="21"/>
                <w:highlight w:val="none"/>
              </w:rPr>
              <w:t>重庆市政府采购代理机构从业人员培训合格证书</w:t>
            </w:r>
            <w:r>
              <w:rPr>
                <w:rFonts w:hint="eastAsia" w:ascii="微软雅黑" w:hAnsi="微软雅黑" w:eastAsia="微软雅黑" w:cs="微软雅黑"/>
                <w:bCs/>
                <w:color w:val="auto"/>
                <w:kern w:val="0"/>
                <w:sz w:val="21"/>
                <w:szCs w:val="21"/>
                <w:highlight w:val="none"/>
                <w:lang w:val="en-US" w:eastAsia="zh-CN"/>
              </w:rPr>
              <w:t>的</w:t>
            </w:r>
            <w:r>
              <w:rPr>
                <w:rFonts w:hint="eastAsia" w:ascii="微软雅黑" w:hAnsi="微软雅黑" w:eastAsia="微软雅黑" w:cs="微软雅黑"/>
                <w:bCs/>
                <w:color w:val="auto"/>
                <w:kern w:val="0"/>
                <w:sz w:val="21"/>
                <w:szCs w:val="21"/>
                <w:highlight w:val="none"/>
              </w:rPr>
              <w:t>，1人得1分，最高得3分。</w:t>
            </w:r>
          </w:p>
          <w:p w14:paraId="3E523EBE">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4.拟派的团队人员具备法律职业资格证书的得3分（不论人数），无不得分。</w:t>
            </w:r>
          </w:p>
          <w:p w14:paraId="70C86C43">
            <w:pPr>
              <w:widowControl/>
              <w:adjustRightInd w:val="0"/>
              <w:snapToGrid w:val="0"/>
              <w:textAlignment w:val="center"/>
              <w:rPr>
                <w:rFonts w:hint="eastAsia" w:ascii="微软雅黑" w:hAnsi="微软雅黑" w:eastAsia="微软雅黑" w:cs="微软雅黑"/>
                <w:bCs/>
                <w:color w:val="auto"/>
                <w:kern w:val="0"/>
                <w:sz w:val="21"/>
                <w:szCs w:val="21"/>
                <w:highlight w:val="none"/>
              </w:rPr>
            </w:pPr>
            <w:r>
              <w:rPr>
                <w:rFonts w:hint="eastAsia" w:ascii="微软雅黑" w:hAnsi="微软雅黑" w:eastAsia="微软雅黑" w:cs="微软雅黑"/>
                <w:bCs/>
                <w:color w:val="auto"/>
                <w:kern w:val="0"/>
                <w:sz w:val="21"/>
                <w:szCs w:val="21"/>
                <w:highlight w:val="none"/>
              </w:rPr>
              <w:t>5.拟派服务于本项目的人员具备2年及以上招标采购代理从业经历，提供1名人员得1分本项最多得3分。</w:t>
            </w:r>
          </w:p>
        </w:tc>
        <w:tc>
          <w:tcPr>
            <w:tcW w:w="2500" w:type="dxa"/>
            <w:vAlign w:val="center"/>
          </w:tcPr>
          <w:p w14:paraId="0C658ED1">
            <w:pPr>
              <w:keepNext w:val="0"/>
              <w:keepLines w:val="0"/>
              <w:pageBreakBefore w:val="0"/>
              <w:widowControl/>
              <w:kinsoku/>
              <w:wordWrap/>
              <w:overflowPunct/>
              <w:topLinePunct w:val="0"/>
              <w:autoSpaceDE/>
              <w:autoSpaceDN/>
              <w:bidi w:val="0"/>
              <w:adjustRightInd w:val="0"/>
              <w:snapToGrid w:val="0"/>
              <w:ind w:firstLine="0" w:firstLineChars="0"/>
              <w:jc w:val="left"/>
              <w:textAlignment w:val="center"/>
              <w:rPr>
                <w:rFonts w:hint="eastAsia" w:ascii="微软雅黑" w:hAnsi="微软雅黑" w:eastAsia="微软雅黑" w:cs="微软雅黑"/>
                <w:bCs/>
                <w:color w:val="auto"/>
                <w:kern w:val="0"/>
                <w:sz w:val="21"/>
                <w:szCs w:val="21"/>
                <w:highlight w:val="none"/>
                <w:vertAlign w:val="baseline"/>
              </w:rPr>
            </w:pPr>
            <w:r>
              <w:rPr>
                <w:rFonts w:hint="eastAsia" w:ascii="微软雅黑" w:hAnsi="微软雅黑" w:eastAsia="微软雅黑" w:cs="微软雅黑"/>
                <w:bCs/>
                <w:color w:val="auto"/>
                <w:kern w:val="0"/>
                <w:sz w:val="21"/>
                <w:szCs w:val="21"/>
                <w:highlight w:val="none"/>
                <w:vertAlign w:val="baseline"/>
              </w:rPr>
              <w:t>第1</w:t>
            </w:r>
            <w:r>
              <w:rPr>
                <w:rFonts w:hint="eastAsia" w:ascii="微软雅黑" w:hAnsi="微软雅黑" w:eastAsia="微软雅黑" w:cs="微软雅黑"/>
                <w:bCs/>
                <w:color w:val="auto"/>
                <w:kern w:val="0"/>
                <w:sz w:val="21"/>
                <w:szCs w:val="21"/>
                <w:highlight w:val="none"/>
                <w:vertAlign w:val="baseline"/>
                <w:lang w:val="en-US" w:eastAsia="zh-CN"/>
              </w:rPr>
              <w:t>-</w:t>
            </w:r>
            <w:r>
              <w:rPr>
                <w:rFonts w:hint="eastAsia" w:ascii="微软雅黑" w:hAnsi="微软雅黑" w:eastAsia="微软雅黑" w:cs="微软雅黑"/>
                <w:bCs/>
                <w:color w:val="auto"/>
                <w:kern w:val="0"/>
                <w:sz w:val="21"/>
                <w:szCs w:val="21"/>
                <w:highlight w:val="none"/>
                <w:vertAlign w:val="baseline"/>
              </w:rPr>
              <w:t>4项提供服务团队的相关证书复印件，加盖代理机构公章。</w:t>
            </w:r>
          </w:p>
          <w:p w14:paraId="26F47187">
            <w:pPr>
              <w:widowControl/>
              <w:adjustRightInd w:val="0"/>
              <w:snapToGrid w:val="0"/>
              <w:spacing w:line="240" w:lineRule="auto"/>
              <w:textAlignment w:val="center"/>
              <w:rPr>
                <w:rFonts w:hint="eastAsia" w:ascii="微软雅黑" w:hAnsi="微软雅黑" w:eastAsia="微软雅黑" w:cs="微软雅黑"/>
                <w:strike/>
                <w:color w:val="auto"/>
                <w:sz w:val="21"/>
                <w:szCs w:val="21"/>
                <w:highlight w:val="none"/>
              </w:rPr>
            </w:pPr>
            <w:r>
              <w:rPr>
                <w:rFonts w:hint="eastAsia" w:ascii="微软雅黑" w:hAnsi="微软雅黑" w:eastAsia="微软雅黑" w:cs="微软雅黑"/>
                <w:bCs/>
                <w:color w:val="auto"/>
                <w:kern w:val="0"/>
                <w:sz w:val="21"/>
                <w:szCs w:val="21"/>
                <w:highlight w:val="none"/>
                <w:vertAlign w:val="baseline"/>
              </w:rPr>
              <w:t>第5项提供项目服务团队人员招标采购代理从业经历承诺书</w:t>
            </w:r>
            <w:r>
              <w:rPr>
                <w:rFonts w:hint="eastAsia" w:ascii="微软雅黑" w:hAnsi="微软雅黑" w:eastAsia="微软雅黑" w:cs="微软雅黑"/>
                <w:bCs/>
                <w:color w:val="auto"/>
                <w:kern w:val="0"/>
                <w:sz w:val="21"/>
                <w:szCs w:val="21"/>
                <w:highlight w:val="none"/>
                <w:vertAlign w:val="baseline"/>
                <w:lang w:eastAsia="zh-CN"/>
              </w:rPr>
              <w:t>（</w:t>
            </w:r>
            <w:r>
              <w:rPr>
                <w:rFonts w:hint="eastAsia" w:ascii="微软雅黑" w:hAnsi="微软雅黑" w:eastAsia="微软雅黑" w:cs="微软雅黑"/>
                <w:bCs/>
                <w:color w:val="auto"/>
                <w:kern w:val="0"/>
                <w:sz w:val="21"/>
                <w:szCs w:val="21"/>
                <w:highlight w:val="none"/>
                <w:vertAlign w:val="baseline"/>
              </w:rPr>
              <w:t>格式自拟</w:t>
            </w:r>
            <w:r>
              <w:rPr>
                <w:rFonts w:hint="eastAsia" w:ascii="微软雅黑" w:hAnsi="微软雅黑" w:eastAsia="微软雅黑" w:cs="微软雅黑"/>
                <w:bCs/>
                <w:color w:val="auto"/>
                <w:kern w:val="0"/>
                <w:sz w:val="21"/>
                <w:szCs w:val="21"/>
                <w:highlight w:val="none"/>
                <w:vertAlign w:val="baseline"/>
                <w:lang w:eastAsia="zh-CN"/>
              </w:rPr>
              <w:t>）</w:t>
            </w:r>
            <w:r>
              <w:rPr>
                <w:rFonts w:hint="eastAsia" w:ascii="微软雅黑" w:hAnsi="微软雅黑" w:eastAsia="微软雅黑" w:cs="微软雅黑"/>
                <w:bCs/>
                <w:color w:val="auto"/>
                <w:kern w:val="0"/>
                <w:sz w:val="21"/>
                <w:szCs w:val="21"/>
                <w:highlight w:val="none"/>
                <w:vertAlign w:val="baseline"/>
              </w:rPr>
              <w:t>，</w:t>
            </w:r>
            <w:r>
              <w:rPr>
                <w:rFonts w:hint="eastAsia" w:ascii="微软雅黑" w:hAnsi="微软雅黑" w:eastAsia="微软雅黑" w:cs="微软雅黑"/>
                <w:bCs/>
                <w:color w:val="auto"/>
                <w:kern w:val="0"/>
                <w:sz w:val="21"/>
                <w:szCs w:val="21"/>
                <w:highlight w:val="none"/>
                <w:vertAlign w:val="baseline"/>
                <w:lang w:val="en-US" w:eastAsia="zh-CN"/>
              </w:rPr>
              <w:t>投标人为其</w:t>
            </w:r>
            <w:r>
              <w:rPr>
                <w:rFonts w:hint="eastAsia" w:ascii="微软雅黑" w:hAnsi="微软雅黑" w:eastAsia="微软雅黑" w:cs="微软雅黑"/>
                <w:bCs/>
                <w:color w:val="auto"/>
                <w:kern w:val="0"/>
                <w:sz w:val="21"/>
                <w:szCs w:val="21"/>
                <w:highlight w:val="none"/>
                <w:vertAlign w:val="baseline"/>
              </w:rPr>
              <w:t>服务团队人员</w:t>
            </w:r>
            <w:r>
              <w:rPr>
                <w:rFonts w:hint="eastAsia" w:ascii="微软雅黑" w:hAnsi="微软雅黑" w:eastAsia="微软雅黑" w:cs="微软雅黑"/>
                <w:bCs/>
                <w:color w:val="auto"/>
                <w:kern w:val="0"/>
                <w:sz w:val="21"/>
                <w:szCs w:val="21"/>
                <w:highlight w:val="none"/>
                <w:vertAlign w:val="baseline"/>
                <w:lang w:val="en-US" w:eastAsia="zh-CN"/>
              </w:rPr>
              <w:t>缴纳的养老保险证明材料</w:t>
            </w:r>
            <w:r>
              <w:rPr>
                <w:rFonts w:hint="eastAsia" w:ascii="微软雅黑" w:hAnsi="微软雅黑" w:eastAsia="微软雅黑" w:cs="微软雅黑"/>
                <w:bCs/>
                <w:color w:val="auto"/>
                <w:kern w:val="0"/>
                <w:sz w:val="21"/>
                <w:szCs w:val="21"/>
                <w:highlight w:val="none"/>
                <w:vertAlign w:val="baseline"/>
              </w:rPr>
              <w:t>。</w:t>
            </w:r>
          </w:p>
        </w:tc>
      </w:tr>
    </w:tbl>
    <w:p w14:paraId="3C871046">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b w:val="0"/>
          <w:bCs w:val="0"/>
          <w:color w:val="auto"/>
          <w:kern w:val="2"/>
          <w:sz w:val="24"/>
          <w:szCs w:val="24"/>
          <w:highlight w:val="none"/>
        </w:rPr>
      </w:pPr>
      <w:bookmarkStart w:id="51" w:name="_Toc6800"/>
      <w:r>
        <w:rPr>
          <w:rFonts w:hint="eastAsia" w:ascii="微软雅黑" w:hAnsi="微软雅黑" w:eastAsia="微软雅黑" w:cs="微软雅黑"/>
          <w:b w:val="0"/>
          <w:bCs w:val="0"/>
          <w:color w:val="auto"/>
          <w:kern w:val="2"/>
          <w:sz w:val="24"/>
          <w:szCs w:val="24"/>
          <w:highlight w:val="none"/>
          <w:lang w:val="en-US" w:eastAsia="zh-CN" w:bidi="ar"/>
        </w:rPr>
        <w:t>异常低价问题有关事项的说明</w:t>
      </w:r>
    </w:p>
    <w:p w14:paraId="0FB60DBD">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（1）参照《关于推动解决政府采购异常低价问题的通知》财库〔2026]2号文件规定，采购评审中出现下列情形之一的，比选小组应当启动异常低价审查程序:</w:t>
      </w:r>
    </w:p>
    <w:p w14:paraId="1C28426A">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 xml:space="preserve">①响应报价低于全部通过符合性审查供应商响应报价平均值50%的，即响应报价&lt;全部通过符合性审查供应商响应报价平均值×50%；； </w:t>
      </w:r>
    </w:p>
    <w:p w14:paraId="30FDBF48">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 xml:space="preserve">②响应报价低于通过符合性审查的次低报价供应商响应报价50%的，即响应报价&lt;通过符合性审查的次低报价供应商响应报价×50%； </w:t>
      </w:r>
    </w:p>
    <w:p w14:paraId="428C5890">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③响应报价低于采购项目最高限价45%的，即响应报价&lt;采购项目最高限价×45%；</w:t>
      </w:r>
    </w:p>
    <w:p w14:paraId="7260966F">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④比选小组基于专业判断，认为供应商报价过低，有可能影响产品质量或者不能诚信履约的其他情形。</w:t>
      </w:r>
    </w:p>
    <w:p w14:paraId="174E5D14">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2）比选小组启动异常低价响应审查后，属于前述第①项至第④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可不再通过邮箱或在评审现场重复提交。</w:t>
      </w:r>
    </w:p>
    <w:p w14:paraId="229BC59F">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比选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比选小组应当将其作为无效响应处理。</w:t>
      </w:r>
    </w:p>
    <w:p w14:paraId="04F01766">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5.在竞采过程中竞采的任何一方不得向他人透露与竞采有关的技术资料､价格或其他信息｡</w:t>
      </w:r>
    </w:p>
    <w:p w14:paraId="31B66CA7">
      <w:pPr>
        <w:keepNext w:val="0"/>
        <w:keepLines w:val="0"/>
        <w:widowControl/>
        <w:suppressLineNumbers w:val="0"/>
        <w:autoSpaceDE/>
        <w:autoSpaceDN/>
        <w:snapToGrid w:val="0"/>
        <w:spacing w:before="0" w:beforeAutospacing="0" w:after="0" w:afterAutospacing="0" w:line="400" w:lineRule="exact"/>
        <w:ind w:left="0" w:right="0" w:firstLine="465" w:firstLineChars="0"/>
        <w:jc w:val="left"/>
        <w:rPr>
          <w:rFonts w:hint="eastAsia" w:ascii="微软雅黑" w:hAnsi="微软雅黑" w:eastAsia="微软雅黑" w:cs="微软雅黑"/>
          <w:color w:val="auto"/>
          <w:kern w:val="2"/>
          <w:sz w:val="24"/>
          <w:szCs w:val="24"/>
          <w:highlight w:val="none"/>
        </w:rPr>
      </w:pPr>
      <w:r>
        <w:rPr>
          <w:rFonts w:hint="eastAsia" w:ascii="微软雅黑" w:hAnsi="微软雅黑" w:eastAsia="微软雅黑" w:cs="微软雅黑"/>
          <w:color w:val="auto"/>
          <w:kern w:val="2"/>
          <w:sz w:val="24"/>
          <w:szCs w:val="24"/>
          <w:highlight w:val="none"/>
          <w:lang w:val="en-US" w:eastAsia="zh-CN" w:bidi="ar"/>
        </w:rPr>
        <w:t>6.供应商在竞采时作出的所有书面承诺须由法定代表人或其授权代表签字。</w:t>
      </w:r>
    </w:p>
    <w:p w14:paraId="0F521345">
      <w:pPr>
        <w:pStyle w:val="3"/>
        <w:spacing w:line="400" w:lineRule="exact"/>
        <w:rPr>
          <w:rFonts w:hint="eastAsia" w:ascii="微软雅黑" w:hAnsi="微软雅黑" w:eastAsia="微软雅黑" w:cs="微软雅黑"/>
          <w:color w:val="auto"/>
          <w:sz w:val="24"/>
          <w:szCs w:val="24"/>
          <w:highlight w:val="none"/>
        </w:rPr>
      </w:pPr>
    </w:p>
    <w:p w14:paraId="7382E08D">
      <w:pPr>
        <w:pStyle w:val="3"/>
        <w:spacing w:line="40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三、无效响应</w:t>
      </w:r>
      <w:bookmarkEnd w:id="51"/>
    </w:p>
    <w:p w14:paraId="3F0F6AB3">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采购代理机构发生以下条款情况之一者，视为无效响应，其比选响应文件将被拒绝：</w:t>
      </w:r>
    </w:p>
    <w:p w14:paraId="6A27C72E">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（一）采购代理机构不符合规定的资格条件的；</w:t>
      </w:r>
    </w:p>
    <w:p w14:paraId="41A496DA">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（二）采购代理机构的法定代表人</w:t>
      </w:r>
      <w:r>
        <w:rPr>
          <w:rFonts w:hint="eastAsia" w:ascii="微软雅黑" w:hAnsi="微软雅黑" w:eastAsia="微软雅黑" w:cs="微软雅黑"/>
          <w:bCs/>
          <w:color w:val="auto"/>
          <w:kern w:val="0"/>
          <w:sz w:val="24"/>
          <w:szCs w:val="24"/>
          <w:highlight w:val="none"/>
        </w:rPr>
        <w:t>（或负责人）</w:t>
      </w:r>
      <w:r>
        <w:rPr>
          <w:rFonts w:hint="eastAsia" w:ascii="微软雅黑" w:hAnsi="微软雅黑" w:eastAsia="微软雅黑" w:cs="微软雅黑"/>
          <w:color w:val="auto"/>
          <w:sz w:val="24"/>
          <w:szCs w:val="24"/>
          <w:highlight w:val="none"/>
        </w:rPr>
        <w:t>或其授权代表未参加比选；</w:t>
      </w:r>
    </w:p>
    <w:p w14:paraId="16DFFC8B">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（三）采购代理机构所提交的比选响应文件不按“第五篇比选响应文件编制要求”要求签署或盖章；</w:t>
      </w:r>
    </w:p>
    <w:p w14:paraId="283196FF">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（四）采购代理机构的报价超过采购预算或最高限价的；</w:t>
      </w:r>
    </w:p>
    <w:p w14:paraId="71F6B855">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（五）法定代表人为同一个人的两个及两个以上法人，母公司、全资子公司及其控股公司，在同一包采购中同时参与比选；</w:t>
      </w:r>
    </w:p>
    <w:p w14:paraId="0D954A54">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（六）单位负责人为同一人或者存在直接控股、管理关系的不同采购代理机构，参加同一合同项下的政府采购活动的；</w:t>
      </w:r>
    </w:p>
    <w:p w14:paraId="5D06432F">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（七）为采购项目提供整体设计、规范编制或者项目管理、监理、检测等服务的采购代理机构，再参加该采购项目的其他采购活动；</w:t>
      </w:r>
    </w:p>
    <w:p w14:paraId="22B3CFAF">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（八）采购代理机构比选有效期不满足竞争性比选文件要求的；</w:t>
      </w:r>
    </w:p>
    <w:p w14:paraId="3A2DD83C">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（九）采购代理机构比选响应文件内容有与国家现行法律法规相违背的内容，或附有采购人无法接受的条件；</w:t>
      </w:r>
    </w:p>
    <w:p w14:paraId="0FAF40D4">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（十）采购代理机构以联合体形式参与比选的；</w:t>
      </w:r>
    </w:p>
    <w:p w14:paraId="277E92E5">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（十一）采购代理机构进行合同分包的；</w:t>
      </w:r>
    </w:p>
    <w:p w14:paraId="500D99A7">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（十二）采购代理机构被列入失信被执行人、重大税收违法案件当事人名单、政府采购严重违法失信行为记录名单及其他不符合《中华人民共和国政府采购法》第二十二条规定条件的</w:t>
      </w:r>
      <w:r>
        <w:rPr>
          <w:rFonts w:hint="eastAsia" w:ascii="微软雅黑" w:hAnsi="微软雅黑" w:eastAsia="微软雅黑" w:cs="微软雅黑"/>
          <w:color w:val="auto"/>
          <w:sz w:val="24"/>
          <w:szCs w:val="24"/>
          <w:highlight w:val="none"/>
          <w:lang w:eastAsia="zh-CN"/>
        </w:rPr>
        <w:t>；</w:t>
      </w:r>
    </w:p>
    <w:p w14:paraId="5F61A2D5">
      <w:pPr>
        <w:snapToGrid w:val="0"/>
        <w:spacing w:line="400" w:lineRule="exact"/>
        <w:ind w:firstLine="465"/>
        <w:rPr>
          <w:rFonts w:hint="default" w:ascii="微软雅黑" w:hAnsi="微软雅黑" w:eastAsia="微软雅黑" w:cs="微软雅黑"/>
          <w:color w:val="auto"/>
          <w:sz w:val="24"/>
          <w:szCs w:val="24"/>
          <w:highlight w:val="none"/>
          <w:lang w:val="en-US" w:eastAsia="zh-CN"/>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十三</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经比选小组认定为异常低价的。</w:t>
      </w:r>
    </w:p>
    <w:p w14:paraId="2FA9D011">
      <w:pPr>
        <w:pStyle w:val="3"/>
        <w:spacing w:line="400" w:lineRule="exact"/>
        <w:rPr>
          <w:rFonts w:hint="eastAsia" w:ascii="微软雅黑" w:hAnsi="微软雅黑" w:eastAsia="微软雅黑" w:cs="微软雅黑"/>
          <w:color w:val="auto"/>
          <w:sz w:val="24"/>
          <w:szCs w:val="24"/>
          <w:highlight w:val="none"/>
        </w:rPr>
      </w:pPr>
      <w:bookmarkStart w:id="52" w:name="_Toc9239"/>
      <w:r>
        <w:rPr>
          <w:rFonts w:hint="eastAsia" w:ascii="微软雅黑" w:hAnsi="微软雅黑" w:eastAsia="微软雅黑" w:cs="微软雅黑"/>
          <w:color w:val="auto"/>
          <w:sz w:val="24"/>
          <w:szCs w:val="24"/>
          <w:highlight w:val="none"/>
        </w:rPr>
        <w:t>四、</w:t>
      </w:r>
      <w:bookmarkEnd w:id="48"/>
      <w:bookmarkEnd w:id="49"/>
      <w:r>
        <w:rPr>
          <w:rFonts w:hint="eastAsia" w:ascii="微软雅黑" w:hAnsi="微软雅黑" w:eastAsia="微软雅黑" w:cs="微软雅黑"/>
          <w:color w:val="auto"/>
          <w:sz w:val="24"/>
          <w:szCs w:val="24"/>
          <w:highlight w:val="none"/>
        </w:rPr>
        <w:t>采购终止</w:t>
      </w:r>
      <w:bookmarkEnd w:id="52"/>
    </w:p>
    <w:p w14:paraId="65F4ACD1">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出现下列情形之一的，采购人应当终止竞争性比选采购活动，发布项目终止公告并说明原因，重新开展采购活动：</w:t>
      </w:r>
    </w:p>
    <w:p w14:paraId="307D9E16">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（一）因情况变化，不再符合规定的竞争性比选采购方式适用情形的；</w:t>
      </w:r>
    </w:p>
    <w:p w14:paraId="7E34D79E">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（二）出现影响采购公正的违法、违规行为的；</w:t>
      </w:r>
    </w:p>
    <w:p w14:paraId="00666035">
      <w:pPr>
        <w:snapToGrid w:val="0"/>
        <w:spacing w:line="400" w:lineRule="exact"/>
        <w:ind w:firstLine="46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（三）在采购过程中符合</w:t>
      </w:r>
      <w:r>
        <w:rPr>
          <w:rFonts w:hint="eastAsia" w:ascii="微软雅黑" w:hAnsi="微软雅黑" w:eastAsia="微软雅黑" w:cs="微软雅黑"/>
          <w:color w:val="auto"/>
          <w:sz w:val="24"/>
          <w:szCs w:val="24"/>
          <w:highlight w:val="none"/>
          <w:lang w:val="en-US" w:eastAsia="zh-CN"/>
        </w:rPr>
        <w:t>比选文件实质性</w:t>
      </w:r>
      <w:r>
        <w:rPr>
          <w:rFonts w:hint="eastAsia" w:ascii="微软雅黑" w:hAnsi="微软雅黑" w:eastAsia="微软雅黑" w:cs="微软雅黑"/>
          <w:color w:val="auto"/>
          <w:sz w:val="24"/>
          <w:szCs w:val="24"/>
          <w:highlight w:val="none"/>
        </w:rPr>
        <w:t>要求的采购代理机构或者报价未超过最高限价的采购代理机构不足3家。</w:t>
      </w:r>
      <w:bookmarkStart w:id="53" w:name="_Toc102227313"/>
      <w:bookmarkStart w:id="54" w:name="_Toc25083"/>
      <w:bookmarkStart w:id="55" w:name="_Toc11641055"/>
      <w:bookmarkStart w:id="56" w:name="_Toc12789059"/>
    </w:p>
    <w:p w14:paraId="2606F10B">
      <w:pPr>
        <w:pStyle w:val="2"/>
        <w:spacing w:line="360" w:lineRule="auto"/>
        <w:jc w:val="center"/>
        <w:rPr>
          <w:rFonts w:hint="eastAsia" w:ascii="微软雅黑" w:hAnsi="微软雅黑" w:eastAsia="微软雅黑" w:cs="微软雅黑"/>
          <w:b w:val="0"/>
          <w:color w:val="auto"/>
          <w:szCs w:val="30"/>
          <w:highlight w:val="none"/>
        </w:rPr>
      </w:pPr>
      <w:r>
        <w:rPr>
          <w:rFonts w:hint="eastAsia" w:ascii="微软雅黑" w:hAnsi="微软雅黑" w:eastAsia="微软雅黑" w:cs="微软雅黑"/>
          <w:b w:val="0"/>
          <w:color w:val="auto"/>
          <w:sz w:val="36"/>
          <w:szCs w:val="30"/>
          <w:highlight w:val="none"/>
        </w:rPr>
        <w:br w:type="page"/>
      </w:r>
      <w:bookmarkStart w:id="57" w:name="_Toc25117"/>
      <w:r>
        <w:rPr>
          <w:rFonts w:hint="eastAsia" w:ascii="微软雅黑" w:hAnsi="微软雅黑" w:eastAsia="微软雅黑" w:cs="微软雅黑"/>
          <w:b w:val="0"/>
          <w:color w:val="auto"/>
          <w:sz w:val="36"/>
          <w:szCs w:val="30"/>
          <w:highlight w:val="none"/>
        </w:rPr>
        <w:t>第四篇  采购代理机构须知</w:t>
      </w:r>
      <w:bookmarkEnd w:id="53"/>
      <w:bookmarkEnd w:id="54"/>
      <w:bookmarkEnd w:id="57"/>
    </w:p>
    <w:p w14:paraId="43DCF3AE">
      <w:pPr>
        <w:pStyle w:val="3"/>
        <w:spacing w:line="440" w:lineRule="exact"/>
        <w:rPr>
          <w:rFonts w:hint="eastAsia" w:ascii="微软雅黑" w:hAnsi="微软雅黑" w:eastAsia="微软雅黑" w:cs="微软雅黑"/>
          <w:color w:val="auto"/>
          <w:sz w:val="24"/>
          <w:szCs w:val="24"/>
          <w:highlight w:val="none"/>
        </w:rPr>
      </w:pPr>
      <w:bookmarkStart w:id="58" w:name="_Toc6062"/>
      <w:bookmarkStart w:id="59" w:name="_Toc342913389"/>
      <w:bookmarkStart w:id="60" w:name="_Toc9003"/>
      <w:r>
        <w:rPr>
          <w:rFonts w:hint="eastAsia" w:ascii="微软雅黑" w:hAnsi="微软雅黑" w:eastAsia="微软雅黑" w:cs="微软雅黑"/>
          <w:color w:val="auto"/>
          <w:sz w:val="24"/>
          <w:szCs w:val="24"/>
          <w:highlight w:val="none"/>
        </w:rPr>
        <w:t>一、比选费用</w:t>
      </w:r>
      <w:bookmarkEnd w:id="58"/>
      <w:bookmarkEnd w:id="59"/>
      <w:bookmarkEnd w:id="60"/>
    </w:p>
    <w:p w14:paraId="7D96E89C">
      <w:pPr>
        <w:pStyle w:val="21"/>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参与比选的采购代理机构应承担其编制比选响应文件与递交比选响应文件所涉及的一切费用，不论比选结果如何，采购人在任何情况下无义务也无责任承担这些费用。</w:t>
      </w:r>
    </w:p>
    <w:p w14:paraId="2E19C682">
      <w:pPr>
        <w:pStyle w:val="3"/>
        <w:tabs>
          <w:tab w:val="left" w:pos="2640"/>
        </w:tabs>
        <w:spacing w:line="400" w:lineRule="exact"/>
        <w:rPr>
          <w:rFonts w:hint="eastAsia" w:ascii="微软雅黑" w:hAnsi="微软雅黑" w:eastAsia="微软雅黑" w:cs="微软雅黑"/>
          <w:color w:val="auto"/>
          <w:sz w:val="24"/>
          <w:szCs w:val="24"/>
          <w:highlight w:val="none"/>
        </w:rPr>
      </w:pPr>
      <w:bookmarkStart w:id="61" w:name="_Toc342913391"/>
      <w:bookmarkStart w:id="62" w:name="_Toc27068"/>
      <w:bookmarkStart w:id="63" w:name="_Toc19556"/>
      <w:r>
        <w:rPr>
          <w:rFonts w:hint="eastAsia" w:ascii="微软雅黑" w:hAnsi="微软雅黑" w:eastAsia="微软雅黑" w:cs="微软雅黑"/>
          <w:color w:val="auto"/>
          <w:sz w:val="24"/>
          <w:szCs w:val="24"/>
          <w:highlight w:val="none"/>
        </w:rPr>
        <w:t>二、竞争性比选文件</w:t>
      </w:r>
      <w:bookmarkEnd w:id="61"/>
      <w:bookmarkEnd w:id="62"/>
      <w:bookmarkEnd w:id="63"/>
    </w:p>
    <w:p w14:paraId="17956FF8">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（一）竞争性比选文件由采购邀请书、项目服务需求、项目商务需求、竞选程序及方法、评审标准、无效响应和采购终止、采购代理机构须知、政府采购合同、比选响应文件编制要求七部分组成。</w:t>
      </w:r>
    </w:p>
    <w:p w14:paraId="1C84BA76">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（二）采购人所作的一切有效的书面通知、修改及补充，都是竞争性比选文件不可分割的部分。</w:t>
      </w:r>
    </w:p>
    <w:p w14:paraId="6819B3DD">
      <w:pPr>
        <w:snapToGrid w:val="0"/>
        <w:spacing w:line="400" w:lineRule="exact"/>
        <w:ind w:firstLine="480" w:firstLineChars="200"/>
        <w:rPr>
          <w:rFonts w:hint="eastAsia" w:ascii="微软雅黑" w:hAnsi="微软雅黑" w:eastAsia="微软雅黑" w:cs="微软雅黑"/>
          <w:color w:val="auto"/>
          <w:sz w:val="24"/>
          <w:szCs w:val="24"/>
          <w:highlight w:val="none"/>
        </w:rPr>
      </w:pPr>
      <w:bookmarkStart w:id="64" w:name="_Toc318159349"/>
      <w:bookmarkStart w:id="65" w:name="_Toc318159780"/>
      <w:bookmarkStart w:id="66" w:name="_Toc318159160"/>
      <w:bookmarkStart w:id="67" w:name="_Toc318166429"/>
      <w:r>
        <w:rPr>
          <w:rFonts w:hint="eastAsia" w:ascii="微软雅黑" w:hAnsi="微软雅黑" w:eastAsia="微软雅黑" w:cs="微软雅黑"/>
          <w:color w:val="auto"/>
          <w:sz w:val="24"/>
          <w:szCs w:val="24"/>
          <w:highlight w:val="none"/>
        </w:rPr>
        <w:t>（三）竞争性比选文件的解释</w:t>
      </w:r>
    </w:p>
    <w:p w14:paraId="159C0865">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代理机构如对竞争性比选文件有疑问，必须以书面形式在提交比选响应文件截止时间3个工作日前向采购人要求澄清，采购人可视具体情况做出处理或答复。如采购代理机构未提出疑问，视为完全理解并同意本竞争性比选文件。一经进入比选程序，即视为采购代理机构已详细阅读全部文件资料，完全理解竞争性比选文件所有条款内容并同意放弃对这方面有不明白及误解的权利。</w:t>
      </w:r>
    </w:p>
    <w:p w14:paraId="1E498255">
      <w:pPr>
        <w:snapToGrid w:val="0"/>
        <w:spacing w:line="400" w:lineRule="exact"/>
        <w:ind w:firstLine="480" w:firstLineChars="200"/>
        <w:rPr>
          <w:rFonts w:hint="eastAsia" w:ascii="微软雅黑" w:hAnsi="微软雅黑" w:eastAsia="微软雅黑" w:cs="微软雅黑"/>
          <w:b/>
          <w:bCs/>
          <w:color w:val="auto"/>
          <w:sz w:val="24"/>
          <w:szCs w:val="24"/>
          <w:highlight w:val="none"/>
        </w:rPr>
      </w:pPr>
      <w:r>
        <w:rPr>
          <w:rFonts w:hint="eastAsia" w:ascii="微软雅黑" w:hAnsi="微软雅黑" w:eastAsia="微软雅黑" w:cs="微软雅黑"/>
          <w:b/>
          <w:bCs/>
          <w:color w:val="auto"/>
          <w:sz w:val="24"/>
          <w:szCs w:val="24"/>
          <w:highlight w:val="none"/>
        </w:rPr>
        <w:t>（四）评审的依据为竞争性比选文件和比选响应文件（含有效的书面承诺）。比选小组判断比选响应文件对竞争性比选文件的响应，仅基于比选响应文件本身而不靠外部证据（本比选文件第三篇澄清有关问题除外）。</w:t>
      </w:r>
    </w:p>
    <w:bookmarkEnd w:id="64"/>
    <w:bookmarkEnd w:id="65"/>
    <w:bookmarkEnd w:id="66"/>
    <w:bookmarkEnd w:id="67"/>
    <w:p w14:paraId="16DF0564">
      <w:pPr>
        <w:pStyle w:val="3"/>
        <w:spacing w:line="400" w:lineRule="exact"/>
        <w:rPr>
          <w:rFonts w:hint="eastAsia" w:ascii="微软雅黑" w:hAnsi="微软雅黑" w:eastAsia="微软雅黑" w:cs="微软雅黑"/>
          <w:color w:val="auto"/>
          <w:sz w:val="24"/>
          <w:szCs w:val="24"/>
          <w:highlight w:val="none"/>
        </w:rPr>
      </w:pPr>
      <w:bookmarkStart w:id="68" w:name="_Toc179714297"/>
      <w:bookmarkStart w:id="69" w:name="_Toc342913392"/>
      <w:bookmarkStart w:id="70" w:name="_Toc5693"/>
      <w:bookmarkStart w:id="71" w:name="_Toc27595"/>
      <w:bookmarkStart w:id="72" w:name="_Toc102227318"/>
      <w:r>
        <w:rPr>
          <w:rFonts w:hint="eastAsia" w:ascii="微软雅黑" w:hAnsi="微软雅黑" w:eastAsia="微软雅黑" w:cs="微软雅黑"/>
          <w:color w:val="auto"/>
          <w:sz w:val="24"/>
          <w:szCs w:val="24"/>
          <w:highlight w:val="none"/>
        </w:rPr>
        <w:t>三、比选要求</w:t>
      </w:r>
      <w:bookmarkEnd w:id="68"/>
      <w:bookmarkEnd w:id="69"/>
      <w:bookmarkEnd w:id="70"/>
      <w:bookmarkEnd w:id="71"/>
      <w:bookmarkEnd w:id="72"/>
    </w:p>
    <w:p w14:paraId="4DDE60DC">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（一）比选响应文件</w:t>
      </w:r>
    </w:p>
    <w:p w14:paraId="09857AC7">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1、采购代理机构应当按照竞争性比选文件的要求编制比选响应文件，并对竞争性比选文件提出的要求和条件作出实质性响应，比选响应文件原则上采用软面订本，同时应编制完整的页码、目录。</w:t>
      </w:r>
    </w:p>
    <w:p w14:paraId="1E64301C">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2、比选响应文件组成</w:t>
      </w:r>
    </w:p>
    <w:p w14:paraId="6D7F8247">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响应文件由第五篇“比选响应文件编制要求”规定的部分和采购代理机构所作的一切有效补充、修改和承诺等文件组成，采购代理机构应按照第五篇“比选响应文件编制要求”规定的目录顺序组织编写和装订，也可在基本格式基础上对表格进行扩展，未规定格式的由采购代理机构自定格式。</w:t>
      </w:r>
    </w:p>
    <w:p w14:paraId="2BF8C084">
      <w:pPr>
        <w:numPr>
          <w:ilvl w:val="0"/>
          <w:numId w:val="2"/>
        </w:num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联合体</w:t>
      </w:r>
    </w:p>
    <w:p w14:paraId="7072D3FA">
      <w:pPr>
        <w:spacing w:line="400" w:lineRule="exact"/>
        <w:ind w:firstLine="480" w:firstLineChars="200"/>
        <w:rPr>
          <w:color w:val="auto"/>
          <w:highlight w:val="none"/>
        </w:rPr>
      </w:pPr>
      <w:r>
        <w:rPr>
          <w:rFonts w:hint="eastAsia" w:ascii="微软雅黑" w:hAnsi="微软雅黑" w:eastAsia="微软雅黑" w:cs="微软雅黑"/>
          <w:color w:val="auto"/>
          <w:sz w:val="24"/>
          <w:szCs w:val="24"/>
          <w:highlight w:val="none"/>
        </w:rPr>
        <w:t>本项目不接受联合体参与比选。</w:t>
      </w:r>
    </w:p>
    <w:p w14:paraId="726ACF1A">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（三）比选有效期：比选响应文件及有关承诺文件有效期为提交比选响应文件截止时间起90天。</w:t>
      </w:r>
    </w:p>
    <w:p w14:paraId="1BC1E374">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（四）修正错误</w:t>
      </w:r>
    </w:p>
    <w:p w14:paraId="7EE5075B">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1、若采购代理机构所递交的比选响应文件中的价格出现大写金额和小写金额不一致的错误，以大写金额修正为准。</w:t>
      </w:r>
    </w:p>
    <w:p w14:paraId="633B08BB">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比选小组按上述修正错误的原则及方法修正采购代理机构的报价，采购代理机构同意并签字确认后，修正后的报价对采购代理机构具有约束作用。如果采购代理机构不接受修正后的价格，将失去成为成交采购代理机构的资格。</w:t>
      </w:r>
    </w:p>
    <w:p w14:paraId="121836CE">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（五）提交比选响应文件的份数和签署</w:t>
      </w:r>
    </w:p>
    <w:p w14:paraId="34C29810">
      <w:pPr>
        <w:snapToGrid w:val="0"/>
        <w:spacing w:line="400" w:lineRule="exact"/>
        <w:ind w:firstLine="480" w:firstLineChars="200"/>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rPr>
        <w:t>1、响应文件一式</w:t>
      </w:r>
      <w:r>
        <w:rPr>
          <w:rFonts w:hint="eastAsia" w:ascii="微软雅黑" w:hAnsi="微软雅黑" w:eastAsia="微软雅黑" w:cs="微软雅黑"/>
          <w:color w:val="auto"/>
          <w:sz w:val="24"/>
          <w:szCs w:val="24"/>
          <w:highlight w:val="none"/>
          <w:lang w:val="en-US" w:eastAsia="zh-CN"/>
        </w:rPr>
        <w:t>两</w:t>
      </w:r>
      <w:r>
        <w:rPr>
          <w:rFonts w:hint="eastAsia" w:ascii="微软雅黑" w:hAnsi="微软雅黑" w:eastAsia="微软雅黑" w:cs="微软雅黑"/>
          <w:color w:val="auto"/>
          <w:sz w:val="24"/>
          <w:szCs w:val="24"/>
          <w:highlight w:val="none"/>
        </w:rPr>
        <w:t>份，其中</w:t>
      </w:r>
      <w:r>
        <w:rPr>
          <w:rFonts w:hint="eastAsia" w:ascii="微软雅黑" w:hAnsi="微软雅黑" w:eastAsia="微软雅黑" w:cs="微软雅黑"/>
          <w:b/>
          <w:bCs/>
          <w:color w:val="auto"/>
          <w:sz w:val="24"/>
          <w:szCs w:val="24"/>
          <w:highlight w:val="none"/>
        </w:rPr>
        <w:t>正本一份，电子文档一份</w:t>
      </w:r>
      <w:r>
        <w:rPr>
          <w:rFonts w:hint="eastAsia" w:ascii="微软雅黑" w:hAnsi="微软雅黑" w:eastAsia="微软雅黑" w:cs="微软雅黑"/>
          <w:color w:val="auto"/>
          <w:sz w:val="24"/>
          <w:szCs w:val="24"/>
          <w:highlight w:val="none"/>
        </w:rPr>
        <w:t>（电子文档内容应与纸质文件正本一致，如不一致以纸质文件正本为准。推荐采用</w:t>
      </w:r>
      <w:r>
        <w:rPr>
          <w:rFonts w:hint="eastAsia" w:ascii="微软雅黑" w:hAnsi="微软雅黑" w:eastAsia="微软雅黑" w:cs="微软雅黑"/>
          <w:b/>
          <w:bCs/>
          <w:color w:val="auto"/>
          <w:sz w:val="24"/>
          <w:szCs w:val="24"/>
          <w:highlight w:val="none"/>
        </w:rPr>
        <w:t>U盘</w:t>
      </w:r>
      <w:r>
        <w:rPr>
          <w:rFonts w:hint="eastAsia" w:ascii="微软雅黑" w:hAnsi="微软雅黑" w:eastAsia="微软雅黑" w:cs="微软雅黑"/>
          <w:color w:val="auto"/>
          <w:sz w:val="24"/>
          <w:szCs w:val="24"/>
          <w:highlight w:val="none"/>
        </w:rPr>
        <w:t>为电子文档载体）</w:t>
      </w:r>
      <w:r>
        <w:rPr>
          <w:rFonts w:hint="eastAsia" w:ascii="微软雅黑" w:hAnsi="微软雅黑" w:eastAsia="微软雅黑" w:cs="微软雅黑"/>
          <w:color w:val="auto"/>
          <w:sz w:val="24"/>
          <w:szCs w:val="24"/>
          <w:highlight w:val="none"/>
          <w:lang w:eastAsia="zh-CN"/>
        </w:rPr>
        <w:t>。</w:t>
      </w:r>
    </w:p>
    <w:p w14:paraId="4969291C">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w:t>
      </w:r>
      <w:r>
        <w:rPr>
          <w:rFonts w:hint="eastAsia" w:ascii="微软雅黑" w:hAnsi="微软雅黑" w:eastAsia="微软雅黑" w:cs="微软雅黑"/>
          <w:color w:val="auto"/>
          <w:sz w:val="24"/>
          <w:highlight w:val="none"/>
        </w:rPr>
        <w:t>在比选响应文件正本中，竞争性比选文件第五篇比选响应文件编制要求中规定签署、盖章的地方必须按其规定签署、盖章。</w:t>
      </w:r>
    </w:p>
    <w:p w14:paraId="169502AE">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（六）比选响应文件的递交</w:t>
      </w:r>
    </w:p>
    <w:p w14:paraId="127DC6FB">
      <w:pPr>
        <w:snapToGrid w:val="0"/>
        <w:spacing w:line="4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 比选响应文件的密封与标记</w:t>
      </w:r>
    </w:p>
    <w:p w14:paraId="60676100">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highlight w:val="none"/>
        </w:rPr>
        <w:t>1.1比选响应文件的正本、电子文档均应密封送达比选地点，应在封套上注明比选项目名称、采购代理机构名称。若正本、</w:t>
      </w:r>
      <w:r>
        <w:rPr>
          <w:rFonts w:hint="eastAsia" w:ascii="微软雅黑" w:hAnsi="微软雅黑" w:eastAsia="微软雅黑" w:cs="微软雅黑"/>
          <w:color w:val="auto"/>
          <w:sz w:val="24"/>
          <w:highlight w:val="none"/>
          <w:lang w:val="en-US" w:eastAsia="zh-CN"/>
        </w:rPr>
        <w:t>电子文档</w:t>
      </w:r>
      <w:r>
        <w:rPr>
          <w:rFonts w:hint="eastAsia" w:ascii="微软雅黑" w:hAnsi="微软雅黑" w:eastAsia="微软雅黑" w:cs="微软雅黑"/>
          <w:color w:val="auto"/>
          <w:sz w:val="24"/>
          <w:highlight w:val="none"/>
        </w:rPr>
        <w:t>分别进行密封的，还应在封套上注明“正本”、“电子文档”字样。</w:t>
      </w:r>
    </w:p>
    <w:p w14:paraId="33210E49">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（七）采购代理机构参与人员</w:t>
      </w:r>
    </w:p>
    <w:p w14:paraId="60E73B23">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各个采购代理机构可根据采购人要求派1名代表参与比选，应为法定代表人（或负责人）或具有法定代表人（或负责人）授权委托书的授权代表。</w:t>
      </w:r>
    </w:p>
    <w:p w14:paraId="2A262C67">
      <w:pPr>
        <w:pStyle w:val="3"/>
        <w:spacing w:line="400" w:lineRule="exact"/>
        <w:rPr>
          <w:rFonts w:hint="eastAsia" w:ascii="微软雅黑" w:hAnsi="微软雅黑" w:eastAsia="微软雅黑" w:cs="微软雅黑"/>
          <w:color w:val="auto"/>
          <w:sz w:val="24"/>
          <w:szCs w:val="24"/>
          <w:highlight w:val="none"/>
        </w:rPr>
      </w:pPr>
      <w:bookmarkStart w:id="73" w:name="_Toc22541"/>
      <w:bookmarkStart w:id="74" w:name="_Toc30700"/>
      <w:r>
        <w:rPr>
          <w:rFonts w:hint="eastAsia" w:ascii="微软雅黑" w:hAnsi="微软雅黑" w:eastAsia="微软雅黑" w:cs="微软雅黑"/>
          <w:color w:val="auto"/>
          <w:sz w:val="24"/>
          <w:szCs w:val="24"/>
          <w:highlight w:val="none"/>
        </w:rPr>
        <w:t>四、成交采购代理机构的确认和变更</w:t>
      </w:r>
      <w:bookmarkEnd w:id="73"/>
      <w:bookmarkEnd w:id="74"/>
    </w:p>
    <w:p w14:paraId="2346D5F5">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（一）中选人的确认</w:t>
      </w:r>
    </w:p>
    <w:p w14:paraId="5B5CFC5A">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采购人应当在收到评审报告后5个工作日内，从评审报告提出的成交候选采购代理机构中，按照排序由高到低的原则确定中选人，也可以书面授权比选小组直接确定中选人。采购人逾期未确定成交采购代理机构且不提出异议的，视为确定评审报告提出的排序前三的采购代理机构为中选人。</w:t>
      </w:r>
    </w:p>
    <w:p w14:paraId="388BBD43">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（二）中选人的变更</w:t>
      </w:r>
    </w:p>
    <w:p w14:paraId="51C806B8">
      <w:pPr>
        <w:snapToGrid w:val="0"/>
        <w:spacing w:line="4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中选人拒绝与采购人签订合同的，采购人可以按照评标报告推荐的中选人顺序，确定排名下一位的候选人为</w:t>
      </w:r>
      <w:r>
        <w:rPr>
          <w:rFonts w:hint="eastAsia" w:ascii="微软雅黑" w:hAnsi="微软雅黑" w:eastAsia="微软雅黑" w:cs="微软雅黑"/>
          <w:color w:val="auto"/>
          <w:sz w:val="24"/>
          <w:szCs w:val="24"/>
          <w:highlight w:val="none"/>
        </w:rPr>
        <w:t>中选人</w:t>
      </w:r>
      <w:r>
        <w:rPr>
          <w:rFonts w:hint="eastAsia" w:ascii="微软雅黑" w:hAnsi="微软雅黑" w:eastAsia="微软雅黑" w:cs="微软雅黑"/>
          <w:color w:val="auto"/>
          <w:sz w:val="24"/>
          <w:highlight w:val="none"/>
        </w:rPr>
        <w:t>，也可以重新开展采购活动。</w:t>
      </w:r>
    </w:p>
    <w:p w14:paraId="3114085F">
      <w:pPr>
        <w:pStyle w:val="3"/>
        <w:spacing w:line="400" w:lineRule="exact"/>
        <w:rPr>
          <w:rFonts w:hint="eastAsia" w:ascii="微软雅黑" w:hAnsi="微软雅黑" w:eastAsia="微软雅黑" w:cs="微软雅黑"/>
          <w:color w:val="auto"/>
          <w:sz w:val="24"/>
          <w:szCs w:val="24"/>
          <w:highlight w:val="none"/>
        </w:rPr>
      </w:pPr>
      <w:bookmarkStart w:id="75" w:name="_Toc102227321"/>
      <w:bookmarkStart w:id="76" w:name="_Toc342913395"/>
      <w:bookmarkStart w:id="77" w:name="_Toc8404"/>
      <w:bookmarkStart w:id="78" w:name="_Toc28602"/>
      <w:r>
        <w:rPr>
          <w:rFonts w:hint="eastAsia" w:ascii="微软雅黑" w:hAnsi="微软雅黑" w:eastAsia="微软雅黑" w:cs="微软雅黑"/>
          <w:color w:val="auto"/>
          <w:sz w:val="24"/>
          <w:szCs w:val="24"/>
          <w:highlight w:val="none"/>
        </w:rPr>
        <w:t>五、成交通知</w:t>
      </w:r>
      <w:bookmarkEnd w:id="75"/>
      <w:bookmarkEnd w:id="76"/>
      <w:bookmarkEnd w:id="77"/>
      <w:bookmarkEnd w:id="78"/>
    </w:p>
    <w:p w14:paraId="58F1ABC9">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（一）采购人将在</w:t>
      </w:r>
      <w:r>
        <w:rPr>
          <w:rFonts w:hint="eastAsia" w:ascii="微软雅黑" w:hAnsi="微软雅黑" w:eastAsia="微软雅黑" w:cs="微软雅黑"/>
          <w:color w:val="auto"/>
          <w:sz w:val="24"/>
          <w:szCs w:val="24"/>
          <w:highlight w:val="none"/>
          <w:lang w:eastAsia="zh-CN"/>
        </w:rPr>
        <w:t>重庆市两江新区人民医院</w:t>
      </w:r>
      <w:r>
        <w:rPr>
          <w:rFonts w:hint="eastAsia" w:ascii="微软雅黑" w:hAnsi="微软雅黑" w:eastAsia="微软雅黑" w:cs="微软雅黑"/>
          <w:color w:val="auto"/>
          <w:sz w:val="24"/>
          <w:szCs w:val="24"/>
          <w:highlight w:val="none"/>
        </w:rPr>
        <w:t>官网上发布成交结果公告。</w:t>
      </w:r>
    </w:p>
    <w:p w14:paraId="4E45C57E">
      <w:pPr>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（二）结果公告发出同时，采购人将以书面形式或口头通知发出中选通知。中选通知一经发出即发生法律效力。</w:t>
      </w:r>
    </w:p>
    <w:p w14:paraId="7F9D40BA">
      <w:pPr>
        <w:pStyle w:val="3"/>
        <w:spacing w:line="400" w:lineRule="exact"/>
        <w:rPr>
          <w:rFonts w:hint="eastAsia" w:ascii="微软雅黑" w:hAnsi="微软雅黑" w:eastAsia="微软雅黑" w:cs="微软雅黑"/>
          <w:color w:val="auto"/>
          <w:sz w:val="24"/>
          <w:szCs w:val="24"/>
          <w:highlight w:val="none"/>
        </w:rPr>
      </w:pPr>
      <w:bookmarkStart w:id="79" w:name="_Toc102227322"/>
      <w:bookmarkStart w:id="80" w:name="_Toc342913396"/>
      <w:bookmarkStart w:id="81" w:name="_Toc3328"/>
      <w:bookmarkStart w:id="82" w:name="_Toc31344"/>
      <w:r>
        <w:rPr>
          <w:rFonts w:hint="eastAsia" w:ascii="微软雅黑" w:hAnsi="微软雅黑" w:eastAsia="微软雅黑" w:cs="微软雅黑"/>
          <w:color w:val="auto"/>
          <w:sz w:val="24"/>
          <w:szCs w:val="24"/>
          <w:highlight w:val="none"/>
        </w:rPr>
        <w:t>六、签订</w:t>
      </w:r>
      <w:bookmarkEnd w:id="79"/>
      <w:r>
        <w:rPr>
          <w:rFonts w:hint="eastAsia" w:ascii="微软雅黑" w:hAnsi="微软雅黑" w:eastAsia="微软雅黑" w:cs="微软雅黑"/>
          <w:color w:val="auto"/>
          <w:sz w:val="24"/>
          <w:szCs w:val="24"/>
          <w:highlight w:val="none"/>
        </w:rPr>
        <w:t>合同</w:t>
      </w:r>
      <w:bookmarkEnd w:id="80"/>
      <w:bookmarkEnd w:id="81"/>
      <w:bookmarkEnd w:id="82"/>
    </w:p>
    <w:p w14:paraId="2FF338C8">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（一）采购人原则上应在成交通知书发出之日起</w:t>
      </w:r>
      <w:r>
        <w:rPr>
          <w:rFonts w:hint="eastAsia" w:ascii="微软雅黑" w:hAnsi="微软雅黑" w:eastAsia="微软雅黑" w:cs="微软雅黑"/>
          <w:color w:val="auto"/>
          <w:sz w:val="24"/>
          <w:szCs w:val="24"/>
          <w:highlight w:val="none"/>
          <w:lang w:val="en-US" w:eastAsia="zh-CN"/>
        </w:rPr>
        <w:t>二</w:t>
      </w:r>
      <w:r>
        <w:rPr>
          <w:rFonts w:hint="eastAsia" w:ascii="微软雅黑" w:hAnsi="微软雅黑" w:eastAsia="微软雅黑" w:cs="微软雅黑"/>
          <w:color w:val="auto"/>
          <w:sz w:val="24"/>
          <w:szCs w:val="24"/>
          <w:highlight w:val="none"/>
        </w:rPr>
        <w:t xml:space="preserve">十日内和成交采购代理机构签订采购合同，无正当理由不得拒绝或拖延合同签订。所签订的合同不得对竞争性比选文件和采购代理机构的比选响应文件作实质性修改。其他未尽事宜由采购人和成交采购代理机构在采购合同中详细约定。   </w:t>
      </w:r>
    </w:p>
    <w:p w14:paraId="62DCDC92">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（二）竞争性比选文件、采购代理机构的比选响应文件及澄清文件等，均为签订采购合同的依据。</w:t>
      </w:r>
    </w:p>
    <w:p w14:paraId="29972E6E">
      <w:pPr>
        <w:spacing w:line="400" w:lineRule="exact"/>
        <w:ind w:firstLine="360" w:firstLineChars="1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（三）合同生效条款由供需双方约定，法律、行政法规规定应当办理批准、登记等手续后生效的合同，依照其规定。</w:t>
      </w:r>
    </w:p>
    <w:p w14:paraId="447F4375">
      <w:pPr>
        <w:snapToGrid w:val="0"/>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（四）合同原则上应按采购人提供的合同文件签订，相关单位要求适用合同通用格式版本的，应按其要求另行签订其他合同。</w:t>
      </w:r>
    </w:p>
    <w:p w14:paraId="25470EE3">
      <w:pPr>
        <w:numPr>
          <w:ilvl w:val="0"/>
          <w:numId w:val="3"/>
        </w:numPr>
        <w:jc w:val="center"/>
        <w:outlineLvl w:val="0"/>
        <w:rPr>
          <w:rFonts w:hint="eastAsia" w:ascii="微软雅黑" w:hAnsi="微软雅黑" w:eastAsia="微软雅黑" w:cs="微软雅黑"/>
          <w:color w:val="auto"/>
          <w:sz w:val="36"/>
          <w:szCs w:val="30"/>
          <w:highlight w:val="none"/>
        </w:rPr>
      </w:pPr>
      <w:r>
        <w:rPr>
          <w:rFonts w:hint="eastAsia" w:ascii="微软雅黑" w:hAnsi="微软雅黑" w:eastAsia="微软雅黑" w:cs="微软雅黑"/>
          <w:color w:val="auto"/>
          <w:sz w:val="36"/>
          <w:szCs w:val="36"/>
          <w:highlight w:val="none"/>
        </w:rPr>
        <w:br w:type="page"/>
      </w:r>
      <w:bookmarkEnd w:id="55"/>
      <w:bookmarkEnd w:id="56"/>
      <w:bookmarkStart w:id="83" w:name="_Hlt41879464"/>
      <w:bookmarkEnd w:id="83"/>
      <w:bookmarkStart w:id="84" w:name="_Toc12789072"/>
      <w:r>
        <w:rPr>
          <w:rFonts w:hint="eastAsia" w:ascii="微软雅黑" w:hAnsi="微软雅黑" w:eastAsia="微软雅黑" w:cs="微软雅黑"/>
          <w:color w:val="auto"/>
          <w:sz w:val="36"/>
          <w:szCs w:val="30"/>
          <w:highlight w:val="none"/>
        </w:rPr>
        <w:t xml:space="preserve"> </w:t>
      </w:r>
      <w:bookmarkEnd w:id="84"/>
      <w:r>
        <w:rPr>
          <w:rFonts w:hint="eastAsia" w:ascii="微软雅黑" w:hAnsi="微软雅黑" w:eastAsia="微软雅黑" w:cs="微软雅黑"/>
          <w:color w:val="auto"/>
          <w:sz w:val="36"/>
          <w:szCs w:val="30"/>
          <w:highlight w:val="none"/>
        </w:rPr>
        <w:t>比选响应文件编制要求</w:t>
      </w:r>
    </w:p>
    <w:p w14:paraId="5CF613ED">
      <w:pPr>
        <w:pStyle w:val="5"/>
        <w:rPr>
          <w:color w:val="auto"/>
          <w:highlight w:val="none"/>
        </w:rPr>
      </w:pPr>
    </w:p>
    <w:p w14:paraId="3EE3C655">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一、响应文件封面</w:t>
      </w:r>
    </w:p>
    <w:p w14:paraId="739B618B">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二、经济部分</w:t>
      </w:r>
    </w:p>
    <w:p w14:paraId="4E30C57D">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三、服务响应偏离表</w:t>
      </w:r>
    </w:p>
    <w:p w14:paraId="357C18A7">
      <w:pPr>
        <w:snapToGrid w:val="0"/>
        <w:spacing w:line="4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四、资格条件及其他</w:t>
      </w:r>
    </w:p>
    <w:p w14:paraId="0FDD54F2">
      <w:pPr>
        <w:spacing w:line="440" w:lineRule="exact"/>
        <w:ind w:firstLine="480" w:firstLineChars="200"/>
        <w:rPr>
          <w:rFonts w:hint="eastAsia" w:ascii="微软雅黑" w:hAnsi="微软雅黑" w:eastAsia="微软雅黑" w:cs="微软雅黑"/>
          <w:color w:val="auto"/>
          <w:sz w:val="24"/>
          <w:szCs w:val="24"/>
          <w:highlight w:val="none"/>
        </w:rPr>
      </w:pPr>
      <w:bookmarkStart w:id="85" w:name="_Toc342913419"/>
      <w:bookmarkStart w:id="86" w:name="_Toc313888360"/>
      <w:bookmarkStart w:id="87" w:name="_Toc313008356"/>
      <w:bookmarkStart w:id="88" w:name="_Toc12789073"/>
      <w:bookmarkStart w:id="89" w:name="_Toc283382454"/>
      <w:r>
        <w:rPr>
          <w:rFonts w:hint="eastAsia" w:ascii="微软雅黑" w:hAnsi="微软雅黑" w:eastAsia="微软雅黑" w:cs="微软雅黑"/>
          <w:color w:val="auto"/>
          <w:sz w:val="24"/>
          <w:szCs w:val="24"/>
          <w:highlight w:val="none"/>
        </w:rPr>
        <w:t>（一）一般资格条件</w:t>
      </w:r>
    </w:p>
    <w:p w14:paraId="3234771A">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（二）特定资格条件</w:t>
      </w:r>
    </w:p>
    <w:p w14:paraId="01A946A5">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（三）评审因素需提供的资料</w:t>
      </w:r>
    </w:p>
    <w:p w14:paraId="46FFFF4C">
      <w:pPr>
        <w:spacing w:line="44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（四）其他应提供的资料</w:t>
      </w:r>
    </w:p>
    <w:p w14:paraId="4BD48EAC">
      <w:pPr>
        <w:spacing w:line="480" w:lineRule="exact"/>
        <w:ind w:firstLine="600" w:firstLineChars="25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 采购代理机构基本情况表</w:t>
      </w:r>
    </w:p>
    <w:p w14:paraId="355070DC">
      <w:pPr>
        <w:pStyle w:val="6"/>
        <w:rPr>
          <w:rFonts w:hint="eastAsia" w:ascii="微软雅黑" w:hAnsi="微软雅黑" w:eastAsia="微软雅黑" w:cs="微软雅黑"/>
          <w:color w:val="auto"/>
          <w:szCs w:val="24"/>
          <w:highlight w:val="none"/>
        </w:rPr>
      </w:pPr>
    </w:p>
    <w:p w14:paraId="0C27BDCA">
      <w:pPr>
        <w:pStyle w:val="6"/>
        <w:rPr>
          <w:rFonts w:hint="eastAsia" w:ascii="微软雅黑" w:hAnsi="微软雅黑" w:eastAsia="微软雅黑" w:cs="微软雅黑"/>
          <w:color w:val="auto"/>
          <w:szCs w:val="24"/>
          <w:highlight w:val="none"/>
        </w:rPr>
      </w:pPr>
    </w:p>
    <w:p w14:paraId="45A2B68A">
      <w:pPr>
        <w:pStyle w:val="6"/>
        <w:rPr>
          <w:rFonts w:hint="eastAsia" w:ascii="微软雅黑" w:hAnsi="微软雅黑" w:eastAsia="微软雅黑" w:cs="微软雅黑"/>
          <w:color w:val="auto"/>
          <w:szCs w:val="24"/>
          <w:highlight w:val="none"/>
        </w:rPr>
      </w:pPr>
    </w:p>
    <w:p w14:paraId="263C41B4">
      <w:pPr>
        <w:pStyle w:val="6"/>
        <w:rPr>
          <w:rFonts w:hint="eastAsia" w:ascii="微软雅黑" w:hAnsi="微软雅黑" w:eastAsia="微软雅黑" w:cs="微软雅黑"/>
          <w:color w:val="auto"/>
          <w:szCs w:val="24"/>
          <w:highlight w:val="none"/>
        </w:rPr>
      </w:pPr>
    </w:p>
    <w:p w14:paraId="77064922">
      <w:pPr>
        <w:pStyle w:val="6"/>
        <w:rPr>
          <w:rFonts w:hint="eastAsia" w:ascii="微软雅黑" w:hAnsi="微软雅黑" w:eastAsia="微软雅黑" w:cs="微软雅黑"/>
          <w:color w:val="auto"/>
          <w:szCs w:val="24"/>
          <w:highlight w:val="none"/>
        </w:rPr>
      </w:pPr>
    </w:p>
    <w:p w14:paraId="4EFE51C0">
      <w:pPr>
        <w:pStyle w:val="6"/>
        <w:rPr>
          <w:rFonts w:hint="eastAsia" w:ascii="微软雅黑" w:hAnsi="微软雅黑" w:eastAsia="微软雅黑" w:cs="微软雅黑"/>
          <w:color w:val="auto"/>
          <w:szCs w:val="24"/>
          <w:highlight w:val="none"/>
        </w:rPr>
      </w:pPr>
    </w:p>
    <w:p w14:paraId="5EC61AAD">
      <w:pPr>
        <w:pStyle w:val="6"/>
        <w:rPr>
          <w:rFonts w:hint="eastAsia" w:ascii="微软雅黑" w:hAnsi="微软雅黑" w:eastAsia="微软雅黑" w:cs="微软雅黑"/>
          <w:color w:val="auto"/>
          <w:szCs w:val="24"/>
          <w:highlight w:val="none"/>
        </w:rPr>
      </w:pPr>
    </w:p>
    <w:p w14:paraId="6C0C12FE">
      <w:pPr>
        <w:pStyle w:val="6"/>
        <w:rPr>
          <w:rFonts w:hint="eastAsia" w:ascii="微软雅黑" w:hAnsi="微软雅黑" w:eastAsia="微软雅黑" w:cs="微软雅黑"/>
          <w:color w:val="auto"/>
          <w:szCs w:val="24"/>
          <w:highlight w:val="none"/>
        </w:rPr>
      </w:pPr>
    </w:p>
    <w:p w14:paraId="30A6B32B">
      <w:pPr>
        <w:pStyle w:val="6"/>
        <w:rPr>
          <w:rFonts w:hint="eastAsia" w:ascii="微软雅黑" w:hAnsi="微软雅黑" w:eastAsia="微软雅黑" w:cs="微软雅黑"/>
          <w:color w:val="auto"/>
          <w:szCs w:val="24"/>
          <w:highlight w:val="none"/>
        </w:rPr>
      </w:pPr>
    </w:p>
    <w:p w14:paraId="72656B22">
      <w:pPr>
        <w:pStyle w:val="6"/>
        <w:rPr>
          <w:rFonts w:hint="eastAsia" w:ascii="微软雅黑" w:hAnsi="微软雅黑" w:eastAsia="微软雅黑" w:cs="微软雅黑"/>
          <w:color w:val="auto"/>
          <w:szCs w:val="24"/>
          <w:highlight w:val="none"/>
        </w:rPr>
      </w:pPr>
    </w:p>
    <w:p w14:paraId="73A347B1">
      <w:pPr>
        <w:pStyle w:val="6"/>
        <w:rPr>
          <w:rFonts w:hint="eastAsia" w:ascii="微软雅黑" w:hAnsi="微软雅黑" w:eastAsia="微软雅黑" w:cs="微软雅黑"/>
          <w:color w:val="auto"/>
          <w:szCs w:val="24"/>
          <w:highlight w:val="none"/>
        </w:rPr>
      </w:pPr>
    </w:p>
    <w:p w14:paraId="3AA42356">
      <w:pPr>
        <w:pStyle w:val="6"/>
        <w:rPr>
          <w:rFonts w:hint="eastAsia" w:ascii="微软雅黑" w:hAnsi="微软雅黑" w:eastAsia="微软雅黑" w:cs="微软雅黑"/>
          <w:color w:val="auto"/>
          <w:szCs w:val="24"/>
          <w:highlight w:val="none"/>
        </w:rPr>
      </w:pPr>
    </w:p>
    <w:p w14:paraId="12C68FC7">
      <w:pPr>
        <w:rPr>
          <w:color w:val="auto"/>
          <w:highlight w:val="none"/>
        </w:rPr>
      </w:pPr>
    </w:p>
    <w:p w14:paraId="3AB0A91C">
      <w:pPr>
        <w:pStyle w:val="5"/>
        <w:rPr>
          <w:color w:val="auto"/>
          <w:highlight w:val="none"/>
        </w:rPr>
      </w:pPr>
    </w:p>
    <w:p w14:paraId="6F437FF2">
      <w:pPr>
        <w:pStyle w:val="6"/>
        <w:rPr>
          <w:color w:val="auto"/>
          <w:highlight w:val="none"/>
        </w:rPr>
      </w:pPr>
    </w:p>
    <w:p w14:paraId="277DC3CB">
      <w:pPr>
        <w:rPr>
          <w:color w:val="auto"/>
          <w:highlight w:val="none"/>
        </w:rPr>
      </w:pPr>
    </w:p>
    <w:p w14:paraId="57991E43">
      <w:pPr>
        <w:pStyle w:val="5"/>
        <w:rPr>
          <w:color w:val="auto"/>
          <w:highlight w:val="none"/>
        </w:rPr>
      </w:pPr>
    </w:p>
    <w:p w14:paraId="79A0FC7B">
      <w:pPr>
        <w:pStyle w:val="6"/>
        <w:rPr>
          <w:color w:val="auto"/>
          <w:highlight w:val="none"/>
        </w:rPr>
      </w:pPr>
    </w:p>
    <w:p w14:paraId="4F73F65C">
      <w:pPr>
        <w:rPr>
          <w:color w:val="auto"/>
          <w:highlight w:val="none"/>
        </w:rPr>
      </w:pPr>
    </w:p>
    <w:p w14:paraId="2ACE8C1C">
      <w:pPr>
        <w:pStyle w:val="5"/>
        <w:rPr>
          <w:color w:val="auto"/>
          <w:highlight w:val="none"/>
        </w:rPr>
      </w:pPr>
    </w:p>
    <w:p w14:paraId="5EDF5599">
      <w:pPr>
        <w:pStyle w:val="6"/>
        <w:rPr>
          <w:color w:val="auto"/>
          <w:highlight w:val="none"/>
        </w:rPr>
      </w:pPr>
    </w:p>
    <w:p w14:paraId="5B137A4B">
      <w:pPr>
        <w:rPr>
          <w:color w:val="auto"/>
          <w:highlight w:val="none"/>
        </w:rPr>
      </w:pPr>
    </w:p>
    <w:p w14:paraId="6970FA09">
      <w:pPr>
        <w:pStyle w:val="5"/>
        <w:rPr>
          <w:color w:val="auto"/>
          <w:highlight w:val="none"/>
        </w:rPr>
      </w:pPr>
    </w:p>
    <w:p w14:paraId="4F4E624F">
      <w:pPr>
        <w:pStyle w:val="6"/>
        <w:rPr>
          <w:color w:val="auto"/>
          <w:highlight w:val="none"/>
        </w:rPr>
      </w:pPr>
    </w:p>
    <w:p w14:paraId="640CA502">
      <w:pPr>
        <w:rPr>
          <w:color w:val="auto"/>
          <w:highlight w:val="none"/>
        </w:rPr>
      </w:pPr>
    </w:p>
    <w:p w14:paraId="6C5251A7">
      <w:pPr>
        <w:pStyle w:val="3"/>
        <w:spacing w:line="480" w:lineRule="exact"/>
        <w:rPr>
          <w:rFonts w:hint="eastAsia" w:ascii="微软雅黑" w:hAnsi="微软雅黑" w:eastAsia="微软雅黑" w:cs="微软雅黑"/>
          <w:b w:val="0"/>
          <w:color w:val="auto"/>
          <w:sz w:val="24"/>
          <w:szCs w:val="24"/>
          <w:highlight w:val="none"/>
        </w:rPr>
      </w:pPr>
      <w:bookmarkStart w:id="90" w:name="_Toc5201"/>
      <w:bookmarkStart w:id="91" w:name="_Toc328052593"/>
      <w:bookmarkStart w:id="92" w:name="_Toc350093071"/>
      <w:bookmarkStart w:id="93" w:name="_Toc333412485"/>
      <w:bookmarkStart w:id="94" w:name="_Toc49159317"/>
      <w:bookmarkStart w:id="95" w:name="_Toc29985636"/>
      <w:bookmarkStart w:id="96" w:name="_Toc377402559"/>
      <w:bookmarkStart w:id="97" w:name="_Toc6818910"/>
      <w:bookmarkStart w:id="98" w:name="_Toc433792168"/>
      <w:bookmarkStart w:id="99" w:name="_Toc375840799"/>
      <w:bookmarkStart w:id="100" w:name="_Toc30668156"/>
      <w:bookmarkStart w:id="101" w:name="_Toc350435647"/>
      <w:bookmarkStart w:id="102" w:name="_Toc21936037"/>
      <w:bookmarkStart w:id="103" w:name="_Toc294083526"/>
      <w:bookmarkStart w:id="104" w:name="_Toc375841207"/>
      <w:bookmarkStart w:id="105" w:name="_Toc27100"/>
      <w:bookmarkStart w:id="106" w:name="_Toc375666796"/>
      <w:bookmarkStart w:id="107" w:name="_Toc47955996"/>
      <w:bookmarkStart w:id="108" w:name="_Toc332630166"/>
      <w:bookmarkStart w:id="109" w:name="_Toc20656408"/>
      <w:bookmarkStart w:id="110" w:name="_Toc23185485"/>
      <w:r>
        <w:rPr>
          <w:rFonts w:hint="eastAsia" w:ascii="微软雅黑" w:hAnsi="微软雅黑" w:eastAsia="微软雅黑" w:cs="微软雅黑"/>
          <w:b w:val="0"/>
          <w:color w:val="auto"/>
          <w:sz w:val="24"/>
          <w:szCs w:val="24"/>
          <w:highlight w:val="none"/>
        </w:rPr>
        <w:t>一</w:t>
      </w:r>
      <w:r>
        <w:rPr>
          <w:rFonts w:hint="eastAsia" w:ascii="微软雅黑" w:hAnsi="微软雅黑" w:eastAsia="微软雅黑" w:cs="微软雅黑"/>
          <w:color w:val="auto"/>
          <w:sz w:val="24"/>
          <w:szCs w:val="24"/>
          <w:highlight w:val="none"/>
        </w:rPr>
        <w:t>、响应文件封面</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3FFDA5D9">
      <w:pPr>
        <w:rPr>
          <w:rFonts w:hint="eastAsia" w:ascii="微软雅黑" w:hAnsi="微软雅黑" w:eastAsia="微软雅黑" w:cs="微软雅黑"/>
          <w:color w:val="auto"/>
          <w:highlight w:val="none"/>
        </w:rPr>
      </w:pPr>
    </w:p>
    <w:p w14:paraId="5681B3D1">
      <w:pPr>
        <w:tabs>
          <w:tab w:val="left" w:pos="3600"/>
          <w:tab w:val="left" w:pos="4480"/>
          <w:tab w:val="left" w:pos="5360"/>
        </w:tabs>
        <w:autoSpaceDE w:val="0"/>
        <w:autoSpaceDN w:val="0"/>
        <w:adjustRightInd w:val="0"/>
        <w:snapToGrid w:val="0"/>
        <w:spacing w:line="360" w:lineRule="auto"/>
        <w:jc w:val="left"/>
        <w:rPr>
          <w:rFonts w:hint="eastAsia" w:ascii="微软雅黑" w:hAnsi="微软雅黑" w:eastAsia="微软雅黑" w:cs="微软雅黑"/>
          <w:color w:val="auto"/>
          <w:kern w:val="0"/>
          <w:sz w:val="44"/>
          <w:szCs w:val="44"/>
          <w:highlight w:val="none"/>
        </w:rPr>
      </w:pPr>
    </w:p>
    <w:p w14:paraId="72A3A470">
      <w:pPr>
        <w:tabs>
          <w:tab w:val="left" w:pos="3600"/>
          <w:tab w:val="left" w:pos="4480"/>
          <w:tab w:val="left" w:pos="5360"/>
        </w:tabs>
        <w:autoSpaceDE w:val="0"/>
        <w:autoSpaceDN w:val="0"/>
        <w:adjustRightInd w:val="0"/>
        <w:snapToGrid w:val="0"/>
        <w:spacing w:line="360" w:lineRule="auto"/>
        <w:jc w:val="center"/>
        <w:rPr>
          <w:rFonts w:hint="eastAsia" w:ascii="微软雅黑" w:hAnsi="微软雅黑" w:eastAsia="微软雅黑" w:cs="微软雅黑"/>
          <w:b/>
          <w:color w:val="auto"/>
          <w:kern w:val="0"/>
          <w:sz w:val="84"/>
          <w:szCs w:val="84"/>
          <w:highlight w:val="none"/>
        </w:rPr>
      </w:pPr>
      <w:r>
        <w:rPr>
          <w:rFonts w:hint="eastAsia" w:ascii="微软雅黑" w:hAnsi="微软雅黑" w:eastAsia="微软雅黑" w:cs="微软雅黑"/>
          <w:b/>
          <w:color w:val="auto"/>
          <w:kern w:val="0"/>
          <w:sz w:val="84"/>
          <w:szCs w:val="84"/>
          <w:highlight w:val="none"/>
        </w:rPr>
        <w:t>比选响应文件</w:t>
      </w:r>
    </w:p>
    <w:p w14:paraId="35A2A818">
      <w:pPr>
        <w:autoSpaceDE w:val="0"/>
        <w:autoSpaceDN w:val="0"/>
        <w:adjustRightInd w:val="0"/>
        <w:snapToGrid w:val="0"/>
        <w:spacing w:line="360" w:lineRule="auto"/>
        <w:jc w:val="left"/>
        <w:rPr>
          <w:rFonts w:hint="eastAsia" w:ascii="微软雅黑" w:hAnsi="微软雅黑" w:eastAsia="微软雅黑" w:cs="微软雅黑"/>
          <w:color w:val="auto"/>
          <w:kern w:val="0"/>
          <w:sz w:val="16"/>
          <w:szCs w:val="16"/>
          <w:highlight w:val="none"/>
        </w:rPr>
      </w:pPr>
    </w:p>
    <w:p w14:paraId="40279463">
      <w:pPr>
        <w:tabs>
          <w:tab w:val="left" w:pos="6904"/>
        </w:tabs>
        <w:autoSpaceDE w:val="0"/>
        <w:autoSpaceDN w:val="0"/>
        <w:adjustRightInd w:val="0"/>
        <w:snapToGrid w:val="0"/>
        <w:spacing w:line="360" w:lineRule="auto"/>
        <w:ind w:firstLine="951" w:firstLineChars="343"/>
        <w:jc w:val="left"/>
        <w:rPr>
          <w:rFonts w:hint="eastAsia" w:ascii="微软雅黑" w:hAnsi="微软雅黑" w:eastAsia="微软雅黑" w:cs="微软雅黑"/>
          <w:b/>
          <w:color w:val="auto"/>
          <w:kern w:val="0"/>
          <w:szCs w:val="28"/>
          <w:highlight w:val="none"/>
        </w:rPr>
      </w:pPr>
      <w:r>
        <w:rPr>
          <w:rFonts w:hint="eastAsia" w:ascii="微软雅黑" w:hAnsi="微软雅黑" w:eastAsia="微软雅黑" w:cs="微软雅黑"/>
          <w:b/>
          <w:color w:val="auto"/>
          <w:w w:val="99"/>
          <w:kern w:val="0"/>
          <w:szCs w:val="28"/>
          <w:highlight w:val="none"/>
        </w:rPr>
        <w:t>项目名称：</w:t>
      </w:r>
      <w:r>
        <w:rPr>
          <w:rFonts w:hint="eastAsia" w:ascii="微软雅黑" w:hAnsi="微软雅黑" w:eastAsia="微软雅黑" w:cs="微软雅黑"/>
          <w:b/>
          <w:color w:val="auto"/>
          <w:w w:val="99"/>
          <w:kern w:val="0"/>
          <w:szCs w:val="28"/>
          <w:highlight w:val="none"/>
          <w:u w:val="single"/>
        </w:rPr>
        <w:t xml:space="preserve">                      </w:t>
      </w:r>
      <w:r>
        <w:rPr>
          <w:rFonts w:hint="eastAsia" w:ascii="微软雅黑" w:hAnsi="微软雅黑" w:eastAsia="微软雅黑" w:cs="微软雅黑"/>
          <w:b/>
          <w:color w:val="auto"/>
          <w:kern w:val="0"/>
          <w:szCs w:val="28"/>
          <w:highlight w:val="none"/>
          <w:u w:val="single"/>
        </w:rPr>
        <w:t xml:space="preserve">               </w:t>
      </w:r>
    </w:p>
    <w:p w14:paraId="1C179E3F">
      <w:pPr>
        <w:autoSpaceDE w:val="0"/>
        <w:autoSpaceDN w:val="0"/>
        <w:adjustRightInd w:val="0"/>
        <w:snapToGrid w:val="0"/>
        <w:spacing w:line="360" w:lineRule="auto"/>
        <w:jc w:val="left"/>
        <w:rPr>
          <w:rFonts w:hint="eastAsia" w:ascii="微软雅黑" w:hAnsi="微软雅黑" w:eastAsia="微软雅黑" w:cs="微软雅黑"/>
          <w:b/>
          <w:color w:val="auto"/>
          <w:kern w:val="0"/>
          <w:szCs w:val="28"/>
          <w:highlight w:val="none"/>
        </w:rPr>
      </w:pPr>
    </w:p>
    <w:p w14:paraId="4EEB46C7">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14:paraId="368C2E7E">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14:paraId="08F4DEF4">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14:paraId="61CF31A9">
      <w:pPr>
        <w:autoSpaceDE w:val="0"/>
        <w:autoSpaceDN w:val="0"/>
        <w:adjustRightInd w:val="0"/>
        <w:snapToGrid w:val="0"/>
        <w:spacing w:line="360" w:lineRule="auto"/>
        <w:jc w:val="left"/>
        <w:rPr>
          <w:rFonts w:hint="eastAsia" w:ascii="微软雅黑" w:hAnsi="微软雅黑" w:eastAsia="微软雅黑" w:cs="微软雅黑"/>
          <w:b/>
          <w:color w:val="auto"/>
          <w:kern w:val="0"/>
          <w:sz w:val="20"/>
          <w:highlight w:val="none"/>
        </w:rPr>
      </w:pPr>
    </w:p>
    <w:p w14:paraId="34067894">
      <w:pPr>
        <w:tabs>
          <w:tab w:val="left" w:pos="6080"/>
          <w:tab w:val="left" w:pos="6640"/>
        </w:tabs>
        <w:autoSpaceDE w:val="0"/>
        <w:autoSpaceDN w:val="0"/>
        <w:adjustRightInd w:val="0"/>
        <w:snapToGrid w:val="0"/>
        <w:spacing w:line="360" w:lineRule="auto"/>
        <w:ind w:firstLine="1247" w:firstLineChars="450"/>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rPr>
        <w:t>采购代理机构</w:t>
      </w:r>
      <w:r>
        <w:rPr>
          <w:rFonts w:hint="eastAsia" w:ascii="微软雅黑" w:hAnsi="微软雅黑" w:eastAsia="微软雅黑" w:cs="微软雅黑"/>
          <w:b/>
          <w:color w:val="auto"/>
          <w:spacing w:val="1"/>
          <w:w w:val="99"/>
          <w:kern w:val="0"/>
          <w:szCs w:val="28"/>
          <w:highlight w:val="none"/>
        </w:rPr>
        <w:t>：</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（公章）</w:t>
      </w:r>
    </w:p>
    <w:p w14:paraId="0407A3EA">
      <w:pPr>
        <w:tabs>
          <w:tab w:val="left" w:pos="6080"/>
          <w:tab w:val="left" w:pos="6640"/>
        </w:tabs>
        <w:autoSpaceDE w:val="0"/>
        <w:autoSpaceDN w:val="0"/>
        <w:adjustRightInd w:val="0"/>
        <w:snapToGrid w:val="0"/>
        <w:spacing w:line="360" w:lineRule="auto"/>
        <w:ind w:firstLine="1247" w:firstLineChars="450"/>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rPr>
        <w:t>法定代表人(或负责人)或其授权代表：</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（签字）</w:t>
      </w:r>
    </w:p>
    <w:p w14:paraId="137A261D">
      <w:pPr>
        <w:tabs>
          <w:tab w:val="left" w:pos="3280"/>
          <w:tab w:val="left" w:pos="4680"/>
          <w:tab w:val="left" w:pos="6080"/>
        </w:tabs>
        <w:autoSpaceDE w:val="0"/>
        <w:autoSpaceDN w:val="0"/>
        <w:adjustRightInd w:val="0"/>
        <w:snapToGrid w:val="0"/>
        <w:spacing w:line="360" w:lineRule="auto"/>
        <w:jc w:val="center"/>
        <w:rPr>
          <w:rFonts w:hint="eastAsia" w:ascii="微软雅黑" w:hAnsi="微软雅黑" w:eastAsia="微软雅黑" w:cs="微软雅黑"/>
          <w:b/>
          <w:color w:val="auto"/>
          <w:w w:val="99"/>
          <w:kern w:val="0"/>
          <w:szCs w:val="28"/>
          <w:highlight w:val="none"/>
        </w:rPr>
      </w:pPr>
      <w:r>
        <w:rPr>
          <w:rFonts w:hint="eastAsia" w:ascii="微软雅黑" w:hAnsi="微软雅黑" w:eastAsia="微软雅黑" w:cs="微软雅黑"/>
          <w:b/>
          <w:color w:val="auto"/>
          <w:w w:val="99"/>
          <w:kern w:val="0"/>
          <w:szCs w:val="28"/>
          <w:highlight w:val="none"/>
          <w:u w:val="single"/>
        </w:rPr>
        <w:t xml:space="preserve">     　</w:t>
      </w:r>
      <w:r>
        <w:rPr>
          <w:rFonts w:hint="eastAsia" w:ascii="微软雅黑" w:hAnsi="微软雅黑" w:eastAsia="微软雅黑" w:cs="微软雅黑"/>
          <w:b/>
          <w:color w:val="auto"/>
          <w:w w:val="99"/>
          <w:kern w:val="0"/>
          <w:szCs w:val="28"/>
          <w:highlight w:val="none"/>
        </w:rPr>
        <w:t>年</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月</w:t>
      </w:r>
      <w:r>
        <w:rPr>
          <w:rFonts w:hint="eastAsia" w:ascii="微软雅黑" w:hAnsi="微软雅黑" w:eastAsia="微软雅黑" w:cs="微软雅黑"/>
          <w:b/>
          <w:color w:val="auto"/>
          <w:w w:val="198"/>
          <w:kern w:val="0"/>
          <w:szCs w:val="28"/>
          <w:highlight w:val="none"/>
          <w:u w:val="single"/>
        </w:rPr>
        <w:t xml:space="preserve">  </w:t>
      </w:r>
      <w:r>
        <w:rPr>
          <w:rFonts w:hint="eastAsia" w:ascii="微软雅黑" w:hAnsi="微软雅黑" w:eastAsia="微软雅黑" w:cs="微软雅黑"/>
          <w:b/>
          <w:color w:val="auto"/>
          <w:w w:val="99"/>
          <w:kern w:val="0"/>
          <w:szCs w:val="28"/>
          <w:highlight w:val="none"/>
        </w:rPr>
        <w:t>日</w:t>
      </w:r>
    </w:p>
    <w:p w14:paraId="168FC36A">
      <w:pPr>
        <w:tabs>
          <w:tab w:val="left" w:pos="3280"/>
          <w:tab w:val="left" w:pos="4680"/>
          <w:tab w:val="left" w:pos="6080"/>
        </w:tabs>
        <w:autoSpaceDE w:val="0"/>
        <w:autoSpaceDN w:val="0"/>
        <w:adjustRightInd w:val="0"/>
        <w:snapToGrid w:val="0"/>
        <w:spacing w:line="360" w:lineRule="auto"/>
        <w:jc w:val="center"/>
        <w:rPr>
          <w:rFonts w:hint="eastAsia" w:ascii="微软雅黑" w:hAnsi="微软雅黑" w:eastAsia="微软雅黑" w:cs="微软雅黑"/>
          <w:b/>
          <w:color w:val="auto"/>
          <w:kern w:val="0"/>
          <w:szCs w:val="28"/>
          <w:highlight w:val="none"/>
        </w:rPr>
      </w:pPr>
    </w:p>
    <w:p w14:paraId="5EA83BEB">
      <w:pPr>
        <w:pStyle w:val="5"/>
        <w:rPr>
          <w:color w:val="auto"/>
          <w:highlight w:val="none"/>
        </w:rPr>
      </w:pPr>
    </w:p>
    <w:p w14:paraId="7A894A14">
      <w:pPr>
        <w:pStyle w:val="6"/>
        <w:rPr>
          <w:color w:val="auto"/>
          <w:highlight w:val="none"/>
        </w:rPr>
      </w:pPr>
    </w:p>
    <w:p w14:paraId="4C6A5E10">
      <w:pPr>
        <w:rPr>
          <w:color w:val="auto"/>
          <w:highlight w:val="none"/>
        </w:rPr>
      </w:pPr>
    </w:p>
    <w:p w14:paraId="1B9691E5">
      <w:pPr>
        <w:pStyle w:val="5"/>
        <w:rPr>
          <w:color w:val="auto"/>
          <w:highlight w:val="none"/>
        </w:rPr>
      </w:pPr>
    </w:p>
    <w:p w14:paraId="5EA7747C">
      <w:pPr>
        <w:pStyle w:val="6"/>
        <w:rPr>
          <w:color w:val="auto"/>
          <w:highlight w:val="none"/>
        </w:rPr>
      </w:pPr>
    </w:p>
    <w:p w14:paraId="27953F65">
      <w:pPr>
        <w:rPr>
          <w:color w:val="auto"/>
          <w:highlight w:val="none"/>
        </w:rPr>
      </w:pPr>
    </w:p>
    <w:p w14:paraId="16D9D44B">
      <w:pPr>
        <w:pStyle w:val="5"/>
        <w:rPr>
          <w:color w:val="auto"/>
          <w:highlight w:val="none"/>
        </w:rPr>
      </w:pPr>
    </w:p>
    <w:p w14:paraId="6627D836">
      <w:pPr>
        <w:pStyle w:val="3"/>
        <w:spacing w:line="360" w:lineRule="auto"/>
        <w:rPr>
          <w:rFonts w:hint="eastAsia" w:ascii="微软雅黑" w:hAnsi="微软雅黑" w:eastAsia="微软雅黑" w:cs="微软雅黑"/>
          <w:color w:val="auto"/>
          <w:sz w:val="24"/>
          <w:szCs w:val="24"/>
          <w:highlight w:val="none"/>
        </w:rPr>
      </w:pPr>
      <w:bookmarkStart w:id="111" w:name="_Toc31520"/>
      <w:r>
        <w:rPr>
          <w:rFonts w:hint="eastAsia" w:ascii="微软雅黑" w:hAnsi="微软雅黑" w:eastAsia="微软雅黑" w:cs="微软雅黑"/>
          <w:color w:val="auto"/>
          <w:sz w:val="24"/>
          <w:szCs w:val="24"/>
          <w:highlight w:val="none"/>
        </w:rPr>
        <w:t>二、经济部分</w:t>
      </w:r>
      <w:bookmarkEnd w:id="85"/>
      <w:bookmarkEnd w:id="86"/>
      <w:bookmarkEnd w:id="87"/>
      <w:bookmarkEnd w:id="111"/>
    </w:p>
    <w:bookmarkEnd w:id="88"/>
    <w:bookmarkEnd w:id="89"/>
    <w:p w14:paraId="77626075">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（一）竞争性比选报价函</w:t>
      </w:r>
    </w:p>
    <w:p w14:paraId="058FB7E5">
      <w:pPr>
        <w:tabs>
          <w:tab w:val="left" w:pos="6300"/>
        </w:tabs>
        <w:snapToGrid w:val="0"/>
        <w:spacing w:line="480" w:lineRule="exact"/>
        <w:jc w:val="center"/>
        <w:rPr>
          <w:rFonts w:hint="eastAsia" w:ascii="微软雅黑" w:hAnsi="微软雅黑" w:eastAsia="微软雅黑" w:cs="微软雅黑"/>
          <w:b/>
          <w:color w:val="auto"/>
          <w:szCs w:val="28"/>
          <w:highlight w:val="none"/>
        </w:rPr>
      </w:pPr>
      <w:r>
        <w:rPr>
          <w:rFonts w:hint="eastAsia" w:ascii="微软雅黑" w:hAnsi="微软雅黑" w:eastAsia="微软雅黑" w:cs="微软雅黑"/>
          <w:b/>
          <w:color w:val="auto"/>
          <w:szCs w:val="28"/>
          <w:highlight w:val="none"/>
        </w:rPr>
        <w:t>竞争性比选报价函</w:t>
      </w:r>
    </w:p>
    <w:p w14:paraId="06C7164A">
      <w:pPr>
        <w:tabs>
          <w:tab w:val="left" w:pos="6300"/>
        </w:tabs>
        <w:snapToGrid w:val="0"/>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（采购人名称）</w:t>
      </w:r>
      <w:r>
        <w:rPr>
          <w:rFonts w:hint="eastAsia" w:ascii="微软雅黑" w:hAnsi="微软雅黑" w:eastAsia="微软雅黑" w:cs="微软雅黑"/>
          <w:color w:val="auto"/>
          <w:sz w:val="24"/>
          <w:szCs w:val="24"/>
          <w:highlight w:val="none"/>
        </w:rPr>
        <w:t>：</w:t>
      </w:r>
    </w:p>
    <w:p w14:paraId="36669E3C">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我方收到____________________________（项目名称）的竞争性比选文件，经详细研究，决定参加该项目的比选。</w:t>
      </w:r>
    </w:p>
    <w:p w14:paraId="34396FEF">
      <w:pPr>
        <w:tabs>
          <w:tab w:val="left" w:pos="6300"/>
        </w:tabs>
        <w:snapToGrid w:val="0"/>
        <w:spacing w:line="400" w:lineRule="exact"/>
        <w:ind w:firstLine="480" w:firstLineChars="200"/>
        <w:jc w:val="left"/>
        <w:rPr>
          <w:rFonts w:hint="eastAsia" w:ascii="方正仿宋_GBK" w:hAnsi="方正仿宋_GBK" w:eastAsia="微软雅黑" w:cs="方正仿宋_GBK"/>
          <w:b/>
          <w:bCs/>
          <w:color w:val="auto"/>
          <w:sz w:val="24"/>
          <w:szCs w:val="24"/>
          <w:highlight w:val="none"/>
        </w:rPr>
      </w:pPr>
      <w:r>
        <w:rPr>
          <w:rFonts w:hint="eastAsia" w:ascii="微软雅黑" w:hAnsi="微软雅黑" w:eastAsia="微软雅黑" w:cs="微软雅黑"/>
          <w:color w:val="auto"/>
          <w:sz w:val="24"/>
          <w:szCs w:val="24"/>
          <w:highlight w:val="none"/>
        </w:rPr>
        <w:t>1、愿意按照竞争性比选文件中的一切要求，提供本项目的技术服务，报价为招标代理服务费</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%的折扣。</w:t>
      </w:r>
    </w:p>
    <w:p w14:paraId="5B50D950">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2、我方现提交的比选响应文件为：比选响应文件正本</w:t>
      </w:r>
      <w:r>
        <w:rPr>
          <w:rFonts w:hint="eastAsia" w:ascii="微软雅黑" w:hAnsi="微软雅黑" w:eastAsia="微软雅黑" w:cs="微软雅黑"/>
          <w:color w:val="auto"/>
          <w:sz w:val="24"/>
          <w:szCs w:val="24"/>
          <w:highlight w:val="none"/>
          <w:u w:val="single"/>
        </w:rPr>
        <w:t xml:space="preserve"> 1 </w:t>
      </w:r>
      <w:r>
        <w:rPr>
          <w:rFonts w:hint="eastAsia" w:ascii="微软雅黑" w:hAnsi="微软雅黑" w:eastAsia="微软雅黑" w:cs="微软雅黑"/>
          <w:color w:val="auto"/>
          <w:sz w:val="24"/>
          <w:szCs w:val="24"/>
          <w:highlight w:val="none"/>
        </w:rPr>
        <w:t>份</w:t>
      </w:r>
      <w:r>
        <w:rPr>
          <w:rFonts w:hint="eastAsia" w:ascii="宋体" w:hAnsi="宋体" w:cs="宋体"/>
          <w:color w:val="auto"/>
          <w:sz w:val="24"/>
          <w:szCs w:val="24"/>
          <w:highlight w:val="none"/>
        </w:rPr>
        <w:t>，</w:t>
      </w:r>
      <w:r>
        <w:rPr>
          <w:rFonts w:hint="eastAsia" w:ascii="微软雅黑" w:hAnsi="微软雅黑" w:eastAsia="微软雅黑" w:cs="微软雅黑"/>
          <w:color w:val="auto"/>
          <w:sz w:val="24"/>
          <w:szCs w:val="24"/>
          <w:highlight w:val="none"/>
        </w:rPr>
        <w:t>电子文档</w:t>
      </w:r>
      <w:r>
        <w:rPr>
          <w:rFonts w:hint="eastAsia" w:ascii="微软雅黑" w:hAnsi="微软雅黑" w:eastAsia="微软雅黑" w:cs="微软雅黑"/>
          <w:color w:val="auto"/>
          <w:sz w:val="24"/>
          <w:szCs w:val="24"/>
          <w:highlight w:val="none"/>
          <w:u w:val="single"/>
        </w:rPr>
        <w:t xml:space="preserve">1 </w:t>
      </w:r>
      <w:r>
        <w:rPr>
          <w:rFonts w:hint="eastAsia" w:ascii="微软雅黑" w:hAnsi="微软雅黑" w:eastAsia="微软雅黑" w:cs="微软雅黑"/>
          <w:color w:val="auto"/>
          <w:sz w:val="24"/>
          <w:szCs w:val="24"/>
          <w:highlight w:val="none"/>
        </w:rPr>
        <w:t>份。</w:t>
      </w:r>
    </w:p>
    <w:p w14:paraId="2ABCF79C">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3、我方承诺：本次比选的有效期为提交比选响应文件截止时间起90天。</w:t>
      </w:r>
    </w:p>
    <w:p w14:paraId="0A9A18EC">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4、我方完全理解和接受贵方竞争性比选文件的一切规定和要求及评审办法。</w:t>
      </w:r>
    </w:p>
    <w:p w14:paraId="0A0B0C78">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5、在整个竞争性比选过程中，我方若有违规行为，接受按照《中华人民共和国政府采购法》及其实施条例等规定给予惩罚。</w:t>
      </w:r>
    </w:p>
    <w:p w14:paraId="4A7F2240">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6、我方若成为成交采购代理机构，将按照最终比选结果签订合同，并且严格履行合同义务。本承诺函将成为合同不可分割的一部分，与合同具有同等的法律效力。</w:t>
      </w:r>
    </w:p>
    <w:p w14:paraId="2B45DA39">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7、我方理解，最低报价不是成交的唯一条件</w:t>
      </w:r>
      <w:r>
        <w:rPr>
          <w:rFonts w:hint="eastAsia" w:ascii="微软雅黑" w:hAnsi="微软雅黑" w:eastAsia="微软雅黑" w:cs="微软雅黑"/>
          <w:color w:val="auto"/>
          <w:sz w:val="24"/>
          <w:szCs w:val="28"/>
          <w:highlight w:val="none"/>
        </w:rPr>
        <w:t>。</w:t>
      </w:r>
    </w:p>
    <w:p w14:paraId="47A86833">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8、</w:t>
      </w:r>
      <w:r>
        <w:rPr>
          <w:rFonts w:hint="eastAsia" w:ascii="微软雅黑" w:hAnsi="微软雅黑" w:eastAsia="微软雅黑" w:cs="微软雅黑"/>
          <w:color w:val="auto"/>
          <w:sz w:val="24"/>
          <w:szCs w:val="28"/>
          <w:highlight w:val="none"/>
        </w:rPr>
        <w:t>我方未</w:t>
      </w:r>
      <w:r>
        <w:rPr>
          <w:rFonts w:hint="eastAsia" w:ascii="微软雅黑" w:hAnsi="微软雅黑" w:eastAsia="微软雅黑" w:cs="微软雅黑"/>
          <w:color w:val="auto"/>
          <w:sz w:val="24"/>
          <w:szCs w:val="24"/>
          <w:highlight w:val="none"/>
        </w:rPr>
        <w:t>为采购项目提供整体设计、规范编制或者项目管理、监理、检测等服务。</w:t>
      </w:r>
    </w:p>
    <w:p w14:paraId="3BA2DBC0">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9、我方不存在单位负责人为同一人或者存在直接控股、管理关系的不同代理机构，参加同一合同项下的采购活动的情况。</w:t>
      </w:r>
    </w:p>
    <w:p w14:paraId="70BA3ACB">
      <w:pPr>
        <w:tabs>
          <w:tab w:val="left" w:pos="6300"/>
        </w:tabs>
        <w:snapToGrid w:val="0"/>
        <w:spacing w:line="312" w:lineRule="auto"/>
        <w:ind w:firstLine="480" w:firstLineChars="200"/>
        <w:rPr>
          <w:rFonts w:hint="eastAsia" w:ascii="微软雅黑" w:hAnsi="微软雅黑" w:eastAsia="微软雅黑" w:cs="微软雅黑"/>
          <w:color w:val="auto"/>
          <w:sz w:val="24"/>
          <w:szCs w:val="24"/>
          <w:highlight w:val="none"/>
        </w:rPr>
      </w:pPr>
    </w:p>
    <w:p w14:paraId="5B4A0578">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代理机构（公章）签署：</w:t>
      </w:r>
    </w:p>
    <w:p w14:paraId="441422DA">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地址：  </w:t>
      </w:r>
    </w:p>
    <w:p w14:paraId="630F1F6D">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电话：                                             传真：</w:t>
      </w:r>
    </w:p>
    <w:p w14:paraId="4C15D5D3">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网址：                                             邮编：</w:t>
      </w:r>
    </w:p>
    <w:p w14:paraId="1CB86C27">
      <w:pPr>
        <w:tabs>
          <w:tab w:val="left" w:pos="6300"/>
        </w:tabs>
        <w:snapToGrid w:val="0"/>
        <w:spacing w:line="312" w:lineRule="auto"/>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联系人：</w:t>
      </w:r>
    </w:p>
    <w:p w14:paraId="28B58C9E">
      <w:pPr>
        <w:snapToGrid w:val="0"/>
        <w:spacing w:line="312" w:lineRule="auto"/>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年   月   </w:t>
      </w:r>
    </w:p>
    <w:p w14:paraId="27E3E01F">
      <w:pPr>
        <w:pStyle w:val="5"/>
        <w:rPr>
          <w:rFonts w:hint="eastAsia" w:ascii="微软雅黑" w:hAnsi="微软雅黑" w:eastAsia="微软雅黑" w:cs="微软雅黑"/>
          <w:color w:val="auto"/>
          <w:sz w:val="24"/>
          <w:szCs w:val="24"/>
          <w:highlight w:val="none"/>
        </w:rPr>
      </w:pPr>
    </w:p>
    <w:p w14:paraId="50FF27F0">
      <w:pPr>
        <w:pStyle w:val="5"/>
        <w:rPr>
          <w:color w:val="auto"/>
          <w:highlight w:val="none"/>
        </w:rPr>
        <w:sectPr>
          <w:headerReference r:id="rId10" w:type="default"/>
          <w:footerReference r:id="rId11" w:type="default"/>
          <w:pgSz w:w="11907" w:h="16840"/>
          <w:pgMar w:top="1134" w:right="1191" w:bottom="1134" w:left="1304" w:header="851" w:footer="992" w:gutter="0"/>
          <w:pgNumType w:fmt="numberInDash"/>
          <w:cols w:space="720" w:num="1"/>
          <w:docGrid w:linePitch="380" w:charSpace="-5735"/>
        </w:sectPr>
      </w:pPr>
    </w:p>
    <w:p w14:paraId="3D11163E">
      <w:pPr>
        <w:pStyle w:val="3"/>
        <w:spacing w:line="360" w:lineRule="auto"/>
        <w:rPr>
          <w:rFonts w:hint="eastAsia" w:ascii="微软雅黑" w:hAnsi="微软雅黑" w:eastAsia="微软雅黑" w:cs="微软雅黑"/>
          <w:color w:val="auto"/>
          <w:sz w:val="24"/>
          <w:szCs w:val="24"/>
          <w:highlight w:val="none"/>
        </w:rPr>
      </w:pPr>
      <w:bookmarkStart w:id="112" w:name="_Toc342913420"/>
      <w:bookmarkStart w:id="113" w:name="_Toc313888361"/>
      <w:bookmarkStart w:id="114" w:name="_Toc313008357"/>
      <w:bookmarkStart w:id="115" w:name="_Toc15920"/>
      <w:r>
        <w:rPr>
          <w:rFonts w:hint="eastAsia" w:ascii="微软雅黑" w:hAnsi="微软雅黑" w:eastAsia="微软雅黑" w:cs="微软雅黑"/>
          <w:color w:val="auto"/>
          <w:sz w:val="24"/>
          <w:szCs w:val="24"/>
          <w:highlight w:val="none"/>
        </w:rPr>
        <w:t>三、服务部分</w:t>
      </w:r>
      <w:bookmarkEnd w:id="112"/>
      <w:bookmarkEnd w:id="113"/>
      <w:bookmarkEnd w:id="114"/>
      <w:bookmarkEnd w:id="115"/>
    </w:p>
    <w:p w14:paraId="43B8B77E">
      <w:pPr>
        <w:snapToGrid w:val="0"/>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比选项目名称：</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7"/>
        <w:gridCol w:w="3081"/>
        <w:gridCol w:w="2309"/>
      </w:tblGrid>
      <w:tr w14:paraId="0E65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0" w:type="pct"/>
            <w:vAlign w:val="center"/>
          </w:tcPr>
          <w:p w14:paraId="4C602459">
            <w:pPr>
              <w:spacing w:line="50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序号</w:t>
            </w:r>
          </w:p>
        </w:tc>
        <w:tc>
          <w:tcPr>
            <w:tcW w:w="1541" w:type="pct"/>
            <w:vAlign w:val="center"/>
          </w:tcPr>
          <w:p w14:paraId="3C7A5740">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采购需求</w:t>
            </w:r>
          </w:p>
        </w:tc>
        <w:tc>
          <w:tcPr>
            <w:tcW w:w="1600" w:type="pct"/>
            <w:vAlign w:val="center"/>
          </w:tcPr>
          <w:p w14:paraId="25BF233E">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响应情况</w:t>
            </w:r>
          </w:p>
        </w:tc>
        <w:tc>
          <w:tcPr>
            <w:tcW w:w="1199" w:type="pct"/>
            <w:vAlign w:val="center"/>
          </w:tcPr>
          <w:p w14:paraId="68E16313">
            <w:pPr>
              <w:spacing w:line="500" w:lineRule="exact"/>
              <w:ind w:firstLine="525" w:firstLineChars="25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差异说明</w:t>
            </w:r>
          </w:p>
        </w:tc>
      </w:tr>
      <w:tr w14:paraId="1696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3EF9251">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704C5BAD">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6D90C030">
            <w:pPr>
              <w:spacing w:line="500" w:lineRule="exact"/>
              <w:rPr>
                <w:rFonts w:hint="eastAsia" w:ascii="微软雅黑" w:hAnsi="微软雅黑" w:eastAsia="微软雅黑" w:cs="微软雅黑"/>
                <w:color w:val="auto"/>
                <w:sz w:val="21"/>
                <w:szCs w:val="21"/>
                <w:highlight w:val="none"/>
              </w:rPr>
            </w:pPr>
          </w:p>
        </w:tc>
        <w:tc>
          <w:tcPr>
            <w:tcW w:w="1199" w:type="pct"/>
            <w:vAlign w:val="center"/>
          </w:tcPr>
          <w:p w14:paraId="5CE1B7EE">
            <w:pPr>
              <w:spacing w:line="500" w:lineRule="exact"/>
              <w:ind w:firstLine="525" w:firstLineChars="250"/>
              <w:rPr>
                <w:rFonts w:hint="eastAsia" w:ascii="微软雅黑" w:hAnsi="微软雅黑" w:eastAsia="微软雅黑" w:cs="微软雅黑"/>
                <w:color w:val="auto"/>
                <w:sz w:val="21"/>
                <w:szCs w:val="21"/>
                <w:highlight w:val="none"/>
              </w:rPr>
            </w:pPr>
          </w:p>
        </w:tc>
      </w:tr>
      <w:tr w14:paraId="3170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1067CD8">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75E5E33C">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1C233214">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58C5E4A5">
            <w:pPr>
              <w:spacing w:line="500" w:lineRule="exact"/>
              <w:ind w:firstLine="525" w:firstLineChars="250"/>
              <w:rPr>
                <w:rFonts w:hint="eastAsia" w:ascii="微软雅黑" w:hAnsi="微软雅黑" w:eastAsia="微软雅黑" w:cs="微软雅黑"/>
                <w:color w:val="auto"/>
                <w:sz w:val="21"/>
                <w:szCs w:val="21"/>
                <w:highlight w:val="none"/>
              </w:rPr>
            </w:pPr>
          </w:p>
        </w:tc>
      </w:tr>
      <w:tr w14:paraId="601F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63E60E29">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6D2032AB">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1280D59C">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394A9C2C">
            <w:pPr>
              <w:spacing w:line="500" w:lineRule="exact"/>
              <w:ind w:firstLine="525" w:firstLineChars="250"/>
              <w:rPr>
                <w:rFonts w:hint="eastAsia" w:ascii="微软雅黑" w:hAnsi="微软雅黑" w:eastAsia="微软雅黑" w:cs="微软雅黑"/>
                <w:color w:val="auto"/>
                <w:sz w:val="21"/>
                <w:szCs w:val="21"/>
                <w:highlight w:val="none"/>
              </w:rPr>
            </w:pPr>
          </w:p>
        </w:tc>
      </w:tr>
      <w:tr w14:paraId="00BF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7C427044">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2BAB9984">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2A0FF9AD">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6540F0F6">
            <w:pPr>
              <w:spacing w:line="500" w:lineRule="exact"/>
              <w:ind w:firstLine="525" w:firstLineChars="250"/>
              <w:rPr>
                <w:rFonts w:hint="eastAsia" w:ascii="微软雅黑" w:hAnsi="微软雅黑" w:eastAsia="微软雅黑" w:cs="微软雅黑"/>
                <w:color w:val="auto"/>
                <w:sz w:val="21"/>
                <w:szCs w:val="21"/>
                <w:highlight w:val="none"/>
              </w:rPr>
            </w:pPr>
          </w:p>
        </w:tc>
      </w:tr>
      <w:tr w14:paraId="35E5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21A398D4">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58E826BB">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54F6F9BB">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388FCB7C">
            <w:pPr>
              <w:spacing w:line="500" w:lineRule="exact"/>
              <w:ind w:firstLine="525" w:firstLineChars="250"/>
              <w:rPr>
                <w:rFonts w:hint="eastAsia" w:ascii="微软雅黑" w:hAnsi="微软雅黑" w:eastAsia="微软雅黑" w:cs="微软雅黑"/>
                <w:color w:val="auto"/>
                <w:sz w:val="21"/>
                <w:szCs w:val="21"/>
                <w:highlight w:val="none"/>
              </w:rPr>
            </w:pPr>
          </w:p>
        </w:tc>
      </w:tr>
      <w:tr w14:paraId="7877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1D7BC81F">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6FB4B6C5">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5D9DFDB7">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3F128BCC">
            <w:pPr>
              <w:spacing w:line="500" w:lineRule="exact"/>
              <w:ind w:firstLine="525" w:firstLineChars="250"/>
              <w:rPr>
                <w:rFonts w:hint="eastAsia" w:ascii="微软雅黑" w:hAnsi="微软雅黑" w:eastAsia="微软雅黑" w:cs="微软雅黑"/>
                <w:color w:val="auto"/>
                <w:sz w:val="21"/>
                <w:szCs w:val="21"/>
                <w:highlight w:val="none"/>
              </w:rPr>
            </w:pPr>
          </w:p>
        </w:tc>
      </w:tr>
      <w:tr w14:paraId="5C24F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50E1EBF">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361436E7">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6E226763">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7BDB159E">
            <w:pPr>
              <w:spacing w:line="500" w:lineRule="exact"/>
              <w:ind w:firstLine="525" w:firstLineChars="250"/>
              <w:rPr>
                <w:rFonts w:hint="eastAsia" w:ascii="微软雅黑" w:hAnsi="微软雅黑" w:eastAsia="微软雅黑" w:cs="微软雅黑"/>
                <w:color w:val="auto"/>
                <w:sz w:val="21"/>
                <w:szCs w:val="21"/>
                <w:highlight w:val="none"/>
              </w:rPr>
            </w:pPr>
          </w:p>
        </w:tc>
      </w:tr>
      <w:tr w14:paraId="7B52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779D2230">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6D6B924B">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205AF879">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6101B569">
            <w:pPr>
              <w:spacing w:line="500" w:lineRule="exact"/>
              <w:ind w:firstLine="525" w:firstLineChars="250"/>
              <w:rPr>
                <w:rFonts w:hint="eastAsia" w:ascii="微软雅黑" w:hAnsi="微软雅黑" w:eastAsia="微软雅黑" w:cs="微软雅黑"/>
                <w:color w:val="auto"/>
                <w:sz w:val="21"/>
                <w:szCs w:val="21"/>
                <w:highlight w:val="none"/>
              </w:rPr>
            </w:pPr>
          </w:p>
        </w:tc>
      </w:tr>
      <w:tr w14:paraId="0B5A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486A85B5">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37DDB2D3">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19F6A782">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23D627DC">
            <w:pPr>
              <w:spacing w:line="500" w:lineRule="exact"/>
              <w:ind w:firstLine="525" w:firstLineChars="250"/>
              <w:rPr>
                <w:rFonts w:hint="eastAsia" w:ascii="微软雅黑" w:hAnsi="微软雅黑" w:eastAsia="微软雅黑" w:cs="微软雅黑"/>
                <w:color w:val="auto"/>
                <w:sz w:val="21"/>
                <w:szCs w:val="21"/>
                <w:highlight w:val="none"/>
              </w:rPr>
            </w:pPr>
          </w:p>
        </w:tc>
      </w:tr>
      <w:tr w14:paraId="4BB7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60" w:type="pct"/>
            <w:vAlign w:val="center"/>
          </w:tcPr>
          <w:p w14:paraId="0426BBB3">
            <w:pPr>
              <w:spacing w:line="500" w:lineRule="exact"/>
              <w:ind w:firstLine="525" w:firstLineChars="250"/>
              <w:rPr>
                <w:rFonts w:hint="eastAsia" w:ascii="微软雅黑" w:hAnsi="微软雅黑" w:eastAsia="微软雅黑" w:cs="微软雅黑"/>
                <w:color w:val="auto"/>
                <w:sz w:val="21"/>
                <w:szCs w:val="21"/>
                <w:highlight w:val="none"/>
              </w:rPr>
            </w:pPr>
          </w:p>
        </w:tc>
        <w:tc>
          <w:tcPr>
            <w:tcW w:w="1541" w:type="pct"/>
            <w:vAlign w:val="center"/>
          </w:tcPr>
          <w:p w14:paraId="3977FF7D">
            <w:pPr>
              <w:spacing w:line="500" w:lineRule="exact"/>
              <w:ind w:firstLine="525" w:firstLineChars="250"/>
              <w:rPr>
                <w:rFonts w:hint="eastAsia" w:ascii="微软雅黑" w:hAnsi="微软雅黑" w:eastAsia="微软雅黑" w:cs="微软雅黑"/>
                <w:color w:val="auto"/>
                <w:sz w:val="21"/>
                <w:szCs w:val="21"/>
                <w:highlight w:val="none"/>
              </w:rPr>
            </w:pPr>
          </w:p>
        </w:tc>
        <w:tc>
          <w:tcPr>
            <w:tcW w:w="1600" w:type="pct"/>
            <w:vAlign w:val="center"/>
          </w:tcPr>
          <w:p w14:paraId="3B73DB72">
            <w:pPr>
              <w:spacing w:line="500" w:lineRule="exact"/>
              <w:ind w:firstLine="525" w:firstLineChars="250"/>
              <w:rPr>
                <w:rFonts w:hint="eastAsia" w:ascii="微软雅黑" w:hAnsi="微软雅黑" w:eastAsia="微软雅黑" w:cs="微软雅黑"/>
                <w:color w:val="auto"/>
                <w:sz w:val="21"/>
                <w:szCs w:val="21"/>
                <w:highlight w:val="none"/>
              </w:rPr>
            </w:pPr>
          </w:p>
        </w:tc>
        <w:tc>
          <w:tcPr>
            <w:tcW w:w="1199" w:type="pct"/>
            <w:vAlign w:val="center"/>
          </w:tcPr>
          <w:p w14:paraId="412E2C1A">
            <w:pPr>
              <w:spacing w:line="500" w:lineRule="exact"/>
              <w:ind w:firstLine="525" w:firstLineChars="250"/>
              <w:rPr>
                <w:rFonts w:hint="eastAsia" w:ascii="微软雅黑" w:hAnsi="微软雅黑" w:eastAsia="微软雅黑" w:cs="微软雅黑"/>
                <w:color w:val="auto"/>
                <w:sz w:val="21"/>
                <w:szCs w:val="21"/>
                <w:highlight w:val="none"/>
              </w:rPr>
            </w:pPr>
          </w:p>
        </w:tc>
      </w:tr>
    </w:tbl>
    <w:p w14:paraId="6FA9E3B8">
      <w:pPr>
        <w:spacing w:line="500" w:lineRule="exact"/>
        <w:ind w:firstLine="600" w:firstLineChars="250"/>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采购代理机构：                          法定代表人（或负责人）或其授权代表：</w:t>
      </w:r>
    </w:p>
    <w:p w14:paraId="3905B080">
      <w:pPr>
        <w:spacing w:line="500" w:lineRule="exact"/>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 xml:space="preserve">    （采购代理机构公章）                            （签署或盖章）</w:t>
      </w:r>
    </w:p>
    <w:p w14:paraId="15A1B55A">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szCs w:val="28"/>
          <w:highlight w:val="none"/>
        </w:rPr>
        <w:t xml:space="preserve">                                          年     月     日</w:t>
      </w:r>
    </w:p>
    <w:p w14:paraId="115D2B5F">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bookmarkStart w:id="116" w:name="_Toc342913421"/>
      <w:bookmarkStart w:id="117" w:name="_Toc313008358"/>
      <w:bookmarkStart w:id="118" w:name="_Toc313888362"/>
    </w:p>
    <w:p w14:paraId="1013C100">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p>
    <w:p w14:paraId="1B30F17C">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注：</w:t>
      </w:r>
    </w:p>
    <w:p w14:paraId="7541583C">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1.本表即为对本项目“第二篇 项目服务需求”中所列全部内容进行比较和响应；</w:t>
      </w:r>
    </w:p>
    <w:p w14:paraId="5022A073">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2.该表必须按照竞争性比选要求逐条如实填写，根据响应情况在“差异说明”项填写正偏离或负偏离及原因，完全符合的填写“无差异”；</w:t>
      </w:r>
      <w:r>
        <w:rPr>
          <w:rFonts w:hint="eastAsia" w:ascii="微软雅黑" w:hAnsi="微软雅黑" w:eastAsia="微软雅黑" w:cs="微软雅黑"/>
          <w:color w:val="auto"/>
          <w:sz w:val="24"/>
          <w:szCs w:val="24"/>
          <w:highlight w:val="none"/>
          <w:lang w:val="en-US" w:eastAsia="zh-CN"/>
        </w:rPr>
        <w:t>如“响应情况”栏未填写具体内容或与“采购需求”要求的内容不完全一致，则该供应商不能通过本项目的符合性审查（即废标）。如“响应情况”栏具体内容和“采购需求”栏具体内容一致但“差异说明”栏未填写则视为无差异。</w:t>
      </w:r>
    </w:p>
    <w:p w14:paraId="5AA72C5C">
      <w:pPr>
        <w:tabs>
          <w:tab w:val="left" w:pos="6300"/>
        </w:tabs>
        <w:snapToGrid w:val="0"/>
        <w:spacing w:line="48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3.该表可扩展，并逐页签字或盖章；</w:t>
      </w:r>
    </w:p>
    <w:p w14:paraId="43ED6331">
      <w:pPr>
        <w:pStyle w:val="12"/>
        <w:rPr>
          <w:color w:val="auto"/>
          <w:highlight w:val="none"/>
        </w:rPr>
      </w:pPr>
    </w:p>
    <w:p w14:paraId="58FD03F1">
      <w:pPr>
        <w:rPr>
          <w:color w:val="auto"/>
          <w:highlight w:val="none"/>
        </w:rPr>
      </w:pPr>
    </w:p>
    <w:p w14:paraId="757B5FA1">
      <w:pPr>
        <w:rPr>
          <w:color w:val="auto"/>
          <w:highlight w:val="none"/>
        </w:rPr>
      </w:pPr>
    </w:p>
    <w:bookmarkEnd w:id="116"/>
    <w:bookmarkEnd w:id="117"/>
    <w:bookmarkEnd w:id="118"/>
    <w:p w14:paraId="1C7386B2">
      <w:pPr>
        <w:pStyle w:val="3"/>
        <w:spacing w:line="360" w:lineRule="auto"/>
        <w:rPr>
          <w:rFonts w:hint="eastAsia" w:ascii="微软雅黑" w:hAnsi="微软雅黑" w:eastAsia="微软雅黑" w:cs="微软雅黑"/>
          <w:color w:val="auto"/>
          <w:highlight w:val="none"/>
        </w:rPr>
      </w:pPr>
      <w:bookmarkStart w:id="119" w:name="_Toc342913422"/>
      <w:bookmarkStart w:id="120" w:name="_Toc313008359"/>
      <w:bookmarkStart w:id="121" w:name="_Toc313888363"/>
      <w:bookmarkStart w:id="122" w:name="_Toc2555"/>
      <w:r>
        <w:rPr>
          <w:rFonts w:hint="eastAsia" w:ascii="微软雅黑" w:hAnsi="微软雅黑" w:eastAsia="微软雅黑" w:cs="微软雅黑"/>
          <w:color w:val="auto"/>
          <w:sz w:val="24"/>
          <w:szCs w:val="24"/>
          <w:highlight w:val="none"/>
        </w:rPr>
        <w:t>四、资格条件及其他</w:t>
      </w:r>
      <w:bookmarkEnd w:id="119"/>
      <w:bookmarkEnd w:id="120"/>
      <w:bookmarkEnd w:id="121"/>
      <w:bookmarkEnd w:id="122"/>
    </w:p>
    <w:p w14:paraId="0DDB0F03">
      <w:pPr>
        <w:widowControl/>
        <w:ind w:firstLine="560" w:firstLineChars="200"/>
        <w:rPr>
          <w:rFonts w:hint="eastAsia" w:ascii="微软雅黑" w:hAnsi="微软雅黑" w:eastAsia="微软雅黑" w:cs="微软雅黑"/>
          <w:color w:val="auto"/>
          <w:szCs w:val="28"/>
          <w:highlight w:val="none"/>
        </w:rPr>
      </w:pPr>
      <w:r>
        <w:rPr>
          <w:rFonts w:hint="eastAsia" w:ascii="微软雅黑" w:hAnsi="微软雅黑" w:eastAsia="微软雅黑" w:cs="微软雅黑"/>
          <w:color w:val="auto"/>
          <w:szCs w:val="28"/>
          <w:highlight w:val="none"/>
        </w:rPr>
        <w:t>（一）一般资格条件</w:t>
      </w:r>
    </w:p>
    <w:p w14:paraId="0E189436">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1、法人营业执照（副本）复印件</w:t>
      </w:r>
      <w:r>
        <w:rPr>
          <w:rFonts w:hint="eastAsia" w:ascii="微软雅黑" w:hAnsi="微软雅黑" w:eastAsia="微软雅黑" w:cs="微软雅黑"/>
          <w:color w:val="auto"/>
          <w:kern w:val="0"/>
          <w:sz w:val="24"/>
          <w:szCs w:val="24"/>
          <w:highlight w:val="none"/>
        </w:rPr>
        <w:t>。</w:t>
      </w:r>
    </w:p>
    <w:p w14:paraId="4CD9D013">
      <w:pPr>
        <w:spacing w:line="52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注：分支机构参与投标的，应提供授权委托。</w:t>
      </w:r>
    </w:p>
    <w:p w14:paraId="54D995C5">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09DD3877">
      <w:pPr>
        <w:tabs>
          <w:tab w:val="left" w:pos="6300"/>
        </w:tabs>
        <w:snapToGrid w:val="0"/>
        <w:spacing w:line="500" w:lineRule="exact"/>
        <w:ind w:firstLine="570"/>
        <w:rPr>
          <w:rFonts w:hint="eastAsia" w:ascii="微软雅黑" w:hAnsi="微软雅黑" w:eastAsia="微软雅黑" w:cs="微软雅黑"/>
          <w:color w:val="auto"/>
          <w:highlight w:val="none"/>
        </w:rPr>
      </w:pPr>
    </w:p>
    <w:p w14:paraId="07F6A402">
      <w:pPr>
        <w:widowControl/>
        <w:rPr>
          <w:rFonts w:hint="eastAsia" w:ascii="微软雅黑" w:hAnsi="微软雅黑" w:eastAsia="微软雅黑" w:cs="微软雅黑"/>
          <w:color w:val="auto"/>
          <w:highlight w:val="none"/>
        </w:rPr>
      </w:pPr>
    </w:p>
    <w:p w14:paraId="5E26E2B7">
      <w:pPr>
        <w:widowControl/>
        <w:ind w:firstLine="56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Cs w:val="28"/>
          <w:highlight w:val="none"/>
        </w:rPr>
        <w:br w:type="page"/>
      </w:r>
      <w:r>
        <w:rPr>
          <w:rFonts w:hint="eastAsia" w:ascii="微软雅黑" w:hAnsi="微软雅黑" w:eastAsia="微软雅黑" w:cs="微软雅黑"/>
          <w:color w:val="auto"/>
          <w:szCs w:val="28"/>
          <w:highlight w:val="none"/>
        </w:rPr>
        <w:t>2、法定代表人身份证明书（格式）</w:t>
      </w:r>
    </w:p>
    <w:p w14:paraId="3504F858">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14D589E7">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项目名称：</w:t>
      </w:r>
      <w:r>
        <w:rPr>
          <w:rFonts w:hint="eastAsia" w:ascii="微软雅黑" w:hAnsi="微软雅黑" w:eastAsia="微软雅黑" w:cs="微软雅黑"/>
          <w:color w:val="auto"/>
          <w:sz w:val="24"/>
          <w:szCs w:val="24"/>
          <w:highlight w:val="none"/>
          <w:u w:val="single"/>
        </w:rPr>
        <w:t xml:space="preserve">                                                </w:t>
      </w:r>
    </w:p>
    <w:p w14:paraId="3AB86281">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33257B13">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致：</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（采购人名称）：</w:t>
      </w:r>
    </w:p>
    <w:p w14:paraId="5511D82A">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（法定代表人（或负责人）姓名）在</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（采购代理机构名称）任</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（职务名称）职务，是（采购代理机构名称）</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的法定代表人（或负责人）。</w:t>
      </w:r>
    </w:p>
    <w:p w14:paraId="56D661DB">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p>
    <w:p w14:paraId="27954D8A">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4B52885B">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特此证明。</w:t>
      </w:r>
    </w:p>
    <w:p w14:paraId="57CB44EE">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3332968B">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18DA0E6F">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5FE9B832">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（采购代理机构公章）</w:t>
      </w:r>
    </w:p>
    <w:p w14:paraId="48C47CB7">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1DF7B0A5">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年   月   日</w:t>
      </w:r>
    </w:p>
    <w:p w14:paraId="78340827">
      <w:pPr>
        <w:tabs>
          <w:tab w:val="left" w:pos="6300"/>
        </w:tabs>
        <w:snapToGrid w:val="0"/>
        <w:spacing w:line="480" w:lineRule="exact"/>
        <w:ind w:firstLine="57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（附：法定代表人（或负责人）身份证正反面复印件）</w:t>
      </w:r>
    </w:p>
    <w:p w14:paraId="53457600">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29E9EB8D">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51571B4E">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311D274A">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28EC345D">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37706D16">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4D2F50B0">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0DA114C2">
      <w:pPr>
        <w:tabs>
          <w:tab w:val="left" w:pos="6300"/>
        </w:tabs>
        <w:snapToGrid w:val="0"/>
        <w:spacing w:line="500" w:lineRule="exact"/>
        <w:ind w:firstLine="570"/>
        <w:jc w:val="center"/>
        <w:rPr>
          <w:rFonts w:hint="eastAsia" w:ascii="微软雅黑" w:hAnsi="微软雅黑" w:eastAsia="微软雅黑" w:cs="微软雅黑"/>
          <w:color w:val="auto"/>
          <w:highlight w:val="none"/>
        </w:rPr>
        <w:sectPr>
          <w:headerReference r:id="rId12" w:type="default"/>
          <w:pgSz w:w="11907" w:h="16840"/>
          <w:pgMar w:top="1134" w:right="1191" w:bottom="1134" w:left="1304" w:header="851" w:footer="992" w:gutter="0"/>
          <w:pgNumType w:fmt="numberInDash"/>
          <w:cols w:space="720" w:num="1"/>
          <w:docGrid w:linePitch="380" w:charSpace="-5735"/>
        </w:sectPr>
      </w:pPr>
    </w:p>
    <w:p w14:paraId="04426C87">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val="en-US" w:eastAsia="zh-CN"/>
        </w:rPr>
        <w:t>3、</w:t>
      </w:r>
      <w:r>
        <w:rPr>
          <w:rFonts w:hint="eastAsia" w:ascii="微软雅黑" w:hAnsi="微软雅黑" w:eastAsia="微软雅黑" w:cs="微软雅黑"/>
          <w:color w:val="auto"/>
          <w:sz w:val="24"/>
          <w:szCs w:val="24"/>
          <w:highlight w:val="none"/>
        </w:rPr>
        <w:t>法定代表人社保证明材料</w:t>
      </w:r>
    </w:p>
    <w:p w14:paraId="56F4C7F0">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提供法定代表人开标截止日当月前3个月中任意一个月加盖社保局公章或电子章的社保证明，同时加盖供应商公章；</w:t>
      </w:r>
    </w:p>
    <w:p w14:paraId="261E09B7">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w:t>
      </w:r>
      <w:r>
        <w:rPr>
          <w:rFonts w:hint="eastAsia" w:ascii="微软雅黑" w:hAnsi="微软雅黑" w:eastAsia="微软雅黑" w:cs="微软雅黑"/>
          <w:color w:val="auto"/>
          <w:sz w:val="24"/>
          <w:szCs w:val="24"/>
          <w:highlight w:val="none"/>
        </w:rPr>
        <w:t>法定代表人缴纳社保在其他单位的，须提供在其他单位参保的社保证明材料，加盖供应商公章。</w:t>
      </w:r>
    </w:p>
    <w:p w14:paraId="6F5EB12C">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0CE7689F">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40596E64">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237ACE97">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6D218913">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265418BE">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624D0EB2">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096D0296">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112F144C">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3A3B39E5">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16C82D43">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56A00416">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07714C2E">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09CF85AF">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3045DDC4">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33FA81DD">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2506B8CF">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5DA511ED">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2D3C53B2">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1D6504D9">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761119C0">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2F138663">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74CBC9E1">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61BC78D8">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1B5B78B3">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0B4E2F86">
      <w:pPr>
        <w:tabs>
          <w:tab w:val="left" w:pos="6300"/>
        </w:tabs>
        <w:snapToGrid w:val="0"/>
        <w:spacing w:line="480" w:lineRule="exact"/>
        <w:ind w:firstLine="555"/>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4、法定代表人未缴纳社保情况说明（法定代表人有社保的无需填此表，无社保的必须填写此表）</w:t>
      </w:r>
    </w:p>
    <w:p w14:paraId="1CA81A9A">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p>
    <w:p w14:paraId="39C37440">
      <w:pPr>
        <w:tabs>
          <w:tab w:val="left" w:pos="6300"/>
        </w:tabs>
        <w:snapToGrid w:val="0"/>
        <w:spacing w:line="480" w:lineRule="exact"/>
        <w:ind w:firstLine="555"/>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eastAsia="zh-CN"/>
        </w:rPr>
        <w:t>法定代表人因以下第   种原因无社保缴纳记录。</w:t>
      </w:r>
    </w:p>
    <w:p w14:paraId="663B01C8">
      <w:pPr>
        <w:tabs>
          <w:tab w:val="left" w:pos="6300"/>
        </w:tabs>
        <w:snapToGrid w:val="0"/>
        <w:spacing w:line="480" w:lineRule="exact"/>
        <w:ind w:firstLine="555"/>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（1）</w:t>
      </w:r>
      <w:r>
        <w:rPr>
          <w:rFonts w:hint="eastAsia" w:ascii="微软雅黑" w:hAnsi="微软雅黑" w:eastAsia="微软雅黑" w:cs="微软雅黑"/>
          <w:color w:val="auto"/>
          <w:sz w:val="24"/>
          <w:szCs w:val="24"/>
          <w:highlight w:val="none"/>
          <w:lang w:eastAsia="zh-CN"/>
        </w:rPr>
        <w:t xml:space="preserve">因个人原因，未在任何单位缴纳社保 </w:t>
      </w:r>
    </w:p>
    <w:p w14:paraId="728C3864">
      <w:pPr>
        <w:tabs>
          <w:tab w:val="left" w:pos="6300"/>
        </w:tabs>
        <w:snapToGrid w:val="0"/>
        <w:spacing w:line="480" w:lineRule="exact"/>
        <w:ind w:firstLine="555"/>
        <w:rPr>
          <w:rFonts w:hint="eastAsia" w:ascii="微软雅黑" w:hAnsi="微软雅黑" w:eastAsia="微软雅黑" w:cs="微软雅黑"/>
          <w:color w:val="auto"/>
          <w:sz w:val="24"/>
          <w:szCs w:val="24"/>
          <w:highlight w:val="none"/>
          <w:lang w:eastAsia="zh-CN"/>
        </w:rPr>
      </w:pPr>
      <w:r>
        <w:rPr>
          <w:rFonts w:hint="eastAsia" w:ascii="微软雅黑" w:hAnsi="微软雅黑" w:eastAsia="微软雅黑" w:cs="微软雅黑"/>
          <w:color w:val="auto"/>
          <w:sz w:val="24"/>
          <w:szCs w:val="24"/>
          <w:highlight w:val="none"/>
          <w:lang w:val="en-US" w:eastAsia="zh-CN"/>
        </w:rPr>
        <w:t>（2）</w:t>
      </w:r>
      <w:r>
        <w:rPr>
          <w:rFonts w:hint="eastAsia" w:ascii="微软雅黑" w:hAnsi="微软雅黑" w:eastAsia="微软雅黑" w:cs="微软雅黑"/>
          <w:color w:val="auto"/>
          <w:sz w:val="24"/>
          <w:szCs w:val="24"/>
          <w:highlight w:val="none"/>
          <w:lang w:eastAsia="zh-CN"/>
        </w:rPr>
        <w:t>已退休</w:t>
      </w:r>
    </w:p>
    <w:p w14:paraId="54B9F928">
      <w:pPr>
        <w:tabs>
          <w:tab w:val="left" w:pos="6300"/>
        </w:tabs>
        <w:snapToGrid w:val="0"/>
        <w:spacing w:line="480" w:lineRule="exact"/>
        <w:ind w:firstLine="555"/>
        <w:rPr>
          <w:rFonts w:hint="eastAsia" w:ascii="微软雅黑" w:hAnsi="微软雅黑" w:eastAsia="微软雅黑" w:cs="微软雅黑"/>
          <w:color w:val="auto"/>
          <w:sz w:val="24"/>
          <w:szCs w:val="24"/>
          <w:highlight w:val="none"/>
          <w:lang w:eastAsia="zh-CN"/>
        </w:rPr>
      </w:pPr>
    </w:p>
    <w:p w14:paraId="10D80294">
      <w:pPr>
        <w:tabs>
          <w:tab w:val="left" w:pos="6300"/>
        </w:tabs>
        <w:snapToGrid w:val="0"/>
        <w:spacing w:line="480" w:lineRule="exact"/>
        <w:ind w:firstLine="555"/>
        <w:rPr>
          <w:rFonts w:hint="eastAsia" w:ascii="微软雅黑" w:hAnsi="微软雅黑" w:eastAsia="微软雅黑" w:cs="微软雅黑"/>
          <w:color w:val="auto"/>
          <w:sz w:val="24"/>
          <w:szCs w:val="24"/>
          <w:highlight w:val="none"/>
          <w:lang w:eastAsia="zh-CN"/>
        </w:rPr>
      </w:pPr>
    </w:p>
    <w:p w14:paraId="3E2CED8C">
      <w:pPr>
        <w:tabs>
          <w:tab w:val="left" w:pos="6300"/>
        </w:tabs>
        <w:snapToGrid w:val="0"/>
        <w:spacing w:line="500" w:lineRule="exact"/>
        <w:ind w:firstLine="570"/>
        <w:jc w:val="righ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（采购代理机构公章）</w:t>
      </w:r>
    </w:p>
    <w:p w14:paraId="5ECBB690">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0C173CF2">
      <w:pPr>
        <w:tabs>
          <w:tab w:val="left" w:pos="6300"/>
        </w:tabs>
        <w:snapToGrid w:val="0"/>
        <w:spacing w:line="500" w:lineRule="exact"/>
        <w:ind w:firstLine="570"/>
        <w:jc w:val="righ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年   月   日</w:t>
      </w:r>
    </w:p>
    <w:p w14:paraId="4307E4B3">
      <w:pPr>
        <w:tabs>
          <w:tab w:val="left" w:pos="6300"/>
        </w:tabs>
        <w:snapToGrid w:val="0"/>
        <w:spacing w:line="480" w:lineRule="exact"/>
        <w:ind w:firstLine="555"/>
        <w:rPr>
          <w:rFonts w:hint="eastAsia" w:ascii="微软雅黑" w:hAnsi="微软雅黑" w:eastAsia="微软雅黑" w:cs="微软雅黑"/>
          <w:color w:val="auto"/>
          <w:sz w:val="24"/>
          <w:szCs w:val="24"/>
          <w:highlight w:val="none"/>
          <w:lang w:eastAsia="zh-CN"/>
        </w:rPr>
        <w:sectPr>
          <w:headerReference r:id="rId13" w:type="default"/>
          <w:footerReference r:id="rId14" w:type="default"/>
          <w:pgSz w:w="11907" w:h="16840"/>
          <w:pgMar w:top="1134" w:right="1191" w:bottom="1134" w:left="1304" w:header="851" w:footer="992" w:gutter="0"/>
          <w:pgNumType w:fmt="decimal"/>
          <w:cols w:space="720" w:num="1"/>
          <w:docGrid w:linePitch="380" w:charSpace="-5735"/>
        </w:sectPr>
      </w:pPr>
    </w:p>
    <w:p w14:paraId="450CEA88">
      <w:pPr>
        <w:tabs>
          <w:tab w:val="left" w:pos="6300"/>
        </w:tabs>
        <w:snapToGrid w:val="0"/>
        <w:spacing w:line="500" w:lineRule="exact"/>
        <w:ind w:firstLine="570"/>
        <w:jc w:val="center"/>
        <w:rPr>
          <w:rFonts w:hint="eastAsia" w:ascii="宋体" w:hAnsi="宋体"/>
          <w:color w:val="auto"/>
          <w:highlight w:val="none"/>
        </w:rPr>
      </w:pPr>
      <w:r>
        <w:rPr>
          <w:rFonts w:hint="eastAsia" w:ascii="微软雅黑" w:hAnsi="微软雅黑" w:eastAsia="微软雅黑" w:cs="微软雅黑"/>
          <w:color w:val="auto"/>
          <w:highlight w:val="none"/>
          <w:lang w:val="en-US" w:eastAsia="zh-CN"/>
        </w:rPr>
        <w:t>5</w:t>
      </w:r>
      <w:r>
        <w:rPr>
          <w:rFonts w:hint="eastAsia" w:ascii="微软雅黑" w:hAnsi="微软雅黑" w:eastAsia="微软雅黑" w:cs="微软雅黑"/>
          <w:color w:val="auto"/>
          <w:highlight w:val="none"/>
        </w:rPr>
        <w:t>、法定代表人授权委托书（格式）</w:t>
      </w:r>
    </w:p>
    <w:p w14:paraId="21FA1837">
      <w:pPr>
        <w:tabs>
          <w:tab w:val="left" w:pos="6300"/>
        </w:tabs>
        <w:snapToGrid w:val="0"/>
        <w:spacing w:line="500" w:lineRule="exact"/>
        <w:ind w:firstLine="570"/>
        <w:rPr>
          <w:rFonts w:hint="eastAsia" w:ascii="宋体" w:hAnsi="宋体"/>
          <w:color w:val="auto"/>
          <w:sz w:val="24"/>
          <w:highlight w:val="none"/>
        </w:rPr>
      </w:pPr>
      <w:r>
        <w:rPr>
          <w:rFonts w:hint="eastAsia" w:ascii="宋体" w:hAnsi="宋体"/>
          <w:color w:val="auto"/>
          <w:sz w:val="24"/>
          <w:highlight w:val="none"/>
        </w:rPr>
        <w:t xml:space="preserve">    </w:t>
      </w:r>
    </w:p>
    <w:p w14:paraId="1725B70E">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szCs w:val="28"/>
          <w:highlight w:val="none"/>
        </w:rPr>
        <w:t>项目名称</w:t>
      </w:r>
      <w:r>
        <w:rPr>
          <w:rFonts w:hint="eastAsia" w:ascii="微软雅黑" w:hAnsi="微软雅黑" w:eastAsia="微软雅黑" w:cs="微软雅黑"/>
          <w:color w:val="auto"/>
          <w:sz w:val="24"/>
          <w:highlight w:val="none"/>
        </w:rPr>
        <w:t>：</w:t>
      </w:r>
      <w:r>
        <w:rPr>
          <w:rFonts w:hint="eastAsia" w:ascii="微软雅黑" w:hAnsi="微软雅黑" w:eastAsia="微软雅黑" w:cs="微软雅黑"/>
          <w:color w:val="auto"/>
          <w:sz w:val="24"/>
          <w:highlight w:val="none"/>
          <w:u w:val="single"/>
        </w:rPr>
        <w:t xml:space="preserve">                                                </w:t>
      </w:r>
    </w:p>
    <w:p w14:paraId="3CE6093C">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2D5CD4D0">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致：</w:t>
      </w:r>
      <w:r>
        <w:rPr>
          <w:rFonts w:hint="eastAsia" w:ascii="微软雅黑" w:hAnsi="微软雅黑" w:eastAsia="微软雅黑" w:cs="微软雅黑"/>
          <w:color w:val="auto"/>
          <w:sz w:val="24"/>
          <w:highlight w:val="none"/>
          <w:u w:val="single"/>
        </w:rPr>
        <w:t xml:space="preserve">                     </w:t>
      </w:r>
      <w:r>
        <w:rPr>
          <w:rFonts w:hint="eastAsia" w:ascii="微软雅黑" w:hAnsi="微软雅黑" w:eastAsia="微软雅黑" w:cs="微软雅黑"/>
          <w:color w:val="auto"/>
          <w:sz w:val="24"/>
          <w:highlight w:val="none"/>
        </w:rPr>
        <w:t>（采购人名称）：</w:t>
      </w:r>
    </w:p>
    <w:p w14:paraId="60A093AD">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_________（采购代理机构法定代表人（或负责人）姓名）特授权_________（被授权人姓名及身份证代码）代表我单位全权办理对上述项目的谈判、签约等具体工作，并签署全部有关的文件、协议及合同。</w:t>
      </w:r>
    </w:p>
    <w:p w14:paraId="602D4282">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我单位对被授权人的签字负全部责任。</w:t>
      </w:r>
    </w:p>
    <w:p w14:paraId="5534DEC3">
      <w:pPr>
        <w:tabs>
          <w:tab w:val="left" w:pos="6300"/>
        </w:tabs>
        <w:snapToGrid w:val="0"/>
        <w:spacing w:line="480" w:lineRule="exact"/>
        <w:ind w:firstLine="555"/>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在</w:t>
      </w:r>
      <w:r>
        <w:rPr>
          <w:rFonts w:hint="eastAsia" w:ascii="微软雅黑" w:hAnsi="微软雅黑" w:eastAsia="微软雅黑" w:cs="微软雅黑"/>
          <w:color w:val="auto"/>
          <w:sz w:val="24"/>
          <w:szCs w:val="24"/>
          <w:highlight w:val="none"/>
          <w:lang w:eastAsia="zh-CN"/>
        </w:rPr>
        <w:t>撤销授权的书面通知以前</w:t>
      </w:r>
      <w:r>
        <w:rPr>
          <w:rFonts w:hint="eastAsia" w:ascii="微软雅黑" w:hAnsi="微软雅黑" w:eastAsia="微软雅黑" w:cs="微软雅黑"/>
          <w:color w:val="auto"/>
          <w:sz w:val="24"/>
          <w:szCs w:val="24"/>
          <w:highlight w:val="none"/>
        </w:rPr>
        <w:t>，本授权书一直有效。被授权人签署的所有文件（在授权书有效期内签署的）不因授权</w:t>
      </w:r>
      <w:r>
        <w:rPr>
          <w:rFonts w:hint="eastAsia" w:ascii="微软雅黑" w:hAnsi="微软雅黑" w:eastAsia="微软雅黑" w:cs="微软雅黑"/>
          <w:color w:val="auto"/>
          <w:sz w:val="24"/>
          <w:szCs w:val="24"/>
          <w:highlight w:val="none"/>
          <w:lang w:eastAsia="zh-CN"/>
        </w:rPr>
        <w:t>的撤销</w:t>
      </w:r>
      <w:r>
        <w:rPr>
          <w:rFonts w:hint="eastAsia" w:ascii="微软雅黑" w:hAnsi="微软雅黑" w:eastAsia="微软雅黑" w:cs="微软雅黑"/>
          <w:color w:val="auto"/>
          <w:sz w:val="24"/>
          <w:szCs w:val="24"/>
          <w:highlight w:val="none"/>
        </w:rPr>
        <w:t>而失效。</w:t>
      </w:r>
    </w:p>
    <w:p w14:paraId="5E1D25B5">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w:t>
      </w:r>
    </w:p>
    <w:p w14:paraId="41FDA1DF">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71A82B65">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35DE8A47">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被授权人：                                 采购代理机构法定代表人</w:t>
      </w:r>
      <w:r>
        <w:rPr>
          <w:rFonts w:hint="eastAsia" w:ascii="微软雅黑" w:hAnsi="微软雅黑" w:eastAsia="微软雅黑" w:cs="微软雅黑"/>
          <w:color w:val="auto"/>
          <w:sz w:val="24"/>
          <w:szCs w:val="24"/>
          <w:highlight w:val="none"/>
        </w:rPr>
        <w:t>（或负责人）</w:t>
      </w:r>
      <w:r>
        <w:rPr>
          <w:rFonts w:hint="eastAsia" w:ascii="微软雅黑" w:hAnsi="微软雅黑" w:eastAsia="微软雅黑" w:cs="微软雅黑"/>
          <w:color w:val="auto"/>
          <w:sz w:val="24"/>
          <w:highlight w:val="none"/>
        </w:rPr>
        <w:t>：</w:t>
      </w:r>
    </w:p>
    <w:p w14:paraId="15074A4D">
      <w:pPr>
        <w:tabs>
          <w:tab w:val="left" w:pos="6300"/>
        </w:tabs>
        <w:snapToGrid w:val="0"/>
        <w:spacing w:line="500" w:lineRule="exact"/>
        <w:ind w:firstLine="570"/>
        <w:rPr>
          <w:rFonts w:hint="eastAsia" w:ascii="微软雅黑" w:hAnsi="微软雅黑" w:eastAsia="微软雅黑" w:cs="微软雅黑"/>
          <w:color w:val="auto"/>
          <w:sz w:val="24"/>
          <w:szCs w:val="28"/>
          <w:highlight w:val="none"/>
        </w:rPr>
      </w:pPr>
      <w:r>
        <w:rPr>
          <w:rFonts w:hint="eastAsia" w:ascii="微软雅黑" w:hAnsi="微软雅黑" w:eastAsia="微软雅黑" w:cs="微软雅黑"/>
          <w:color w:val="auto"/>
          <w:sz w:val="24"/>
          <w:szCs w:val="28"/>
          <w:highlight w:val="none"/>
        </w:rPr>
        <w:t>（签署或盖章）                                （签署或盖章）</w:t>
      </w:r>
    </w:p>
    <w:p w14:paraId="1E139C19">
      <w:pPr>
        <w:tabs>
          <w:tab w:val="left" w:pos="6300"/>
        </w:tabs>
        <w:snapToGrid w:val="0"/>
        <w:spacing w:line="500" w:lineRule="exact"/>
        <w:ind w:firstLine="570"/>
        <w:rPr>
          <w:rFonts w:hint="eastAsia" w:ascii="微软雅黑" w:hAnsi="微软雅黑" w:eastAsia="微软雅黑" w:cs="微软雅黑"/>
          <w:color w:val="auto"/>
          <w:sz w:val="24"/>
          <w:szCs w:val="28"/>
          <w:highlight w:val="none"/>
        </w:rPr>
      </w:pPr>
    </w:p>
    <w:p w14:paraId="5642142B">
      <w:pPr>
        <w:tabs>
          <w:tab w:val="left" w:pos="6300"/>
        </w:tabs>
        <w:snapToGrid w:val="0"/>
        <w:spacing w:line="500" w:lineRule="exact"/>
        <w:ind w:firstLine="570"/>
        <w:rPr>
          <w:rFonts w:hint="eastAsia" w:ascii="微软雅黑" w:hAnsi="微软雅黑" w:eastAsia="微软雅黑" w:cs="微软雅黑"/>
          <w:color w:val="auto"/>
          <w:sz w:val="24"/>
          <w:highlight w:val="none"/>
        </w:rPr>
      </w:pPr>
    </w:p>
    <w:p w14:paraId="40630AE6">
      <w:pPr>
        <w:tabs>
          <w:tab w:val="left" w:pos="6300"/>
        </w:tabs>
        <w:snapToGrid w:val="0"/>
        <w:spacing w:line="500" w:lineRule="exact"/>
        <w:ind w:firstLine="57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（附：被授权人身份证正反面复印件）</w:t>
      </w:r>
    </w:p>
    <w:p w14:paraId="7FDE89EC">
      <w:pPr>
        <w:tabs>
          <w:tab w:val="left" w:pos="6300"/>
        </w:tabs>
        <w:snapToGrid w:val="0"/>
        <w:spacing w:line="500" w:lineRule="exact"/>
        <w:ind w:right="480" w:firstLine="570"/>
        <w:jc w:val="righ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 xml:space="preserve">    （采购代理机构公章）</w:t>
      </w:r>
    </w:p>
    <w:p w14:paraId="2B50E980">
      <w:pPr>
        <w:tabs>
          <w:tab w:val="left" w:pos="6300"/>
        </w:tabs>
        <w:snapToGrid w:val="0"/>
        <w:spacing w:line="500" w:lineRule="exact"/>
        <w:ind w:right="480" w:firstLine="570"/>
        <w:jc w:val="righ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年   月   日</w:t>
      </w:r>
    </w:p>
    <w:p w14:paraId="36D0E085">
      <w:pPr>
        <w:tabs>
          <w:tab w:val="left" w:pos="6300"/>
        </w:tabs>
        <w:snapToGrid w:val="0"/>
        <w:spacing w:line="500" w:lineRule="exact"/>
        <w:ind w:right="480" w:firstLine="570"/>
        <w:jc w:val="left"/>
        <w:rPr>
          <w:rFonts w:hint="eastAsia" w:ascii="微软雅黑" w:hAnsi="微软雅黑" w:eastAsia="微软雅黑" w:cs="微软雅黑"/>
          <w:color w:val="auto"/>
          <w:sz w:val="24"/>
          <w:highlight w:val="none"/>
        </w:rPr>
      </w:pPr>
    </w:p>
    <w:p w14:paraId="0B4D5012">
      <w:pPr>
        <w:tabs>
          <w:tab w:val="left" w:pos="6300"/>
        </w:tabs>
        <w:snapToGrid w:val="0"/>
        <w:spacing w:line="500" w:lineRule="exact"/>
        <w:ind w:right="480" w:firstLine="570"/>
        <w:jc w:val="lef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注：</w:t>
      </w:r>
    </w:p>
    <w:p w14:paraId="0B6980A1">
      <w:pPr>
        <w:tabs>
          <w:tab w:val="left" w:pos="6300"/>
        </w:tabs>
        <w:snapToGrid w:val="0"/>
        <w:spacing w:line="500" w:lineRule="exact"/>
        <w:ind w:right="480"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1.若为法定代表人</w:t>
      </w:r>
      <w:r>
        <w:rPr>
          <w:rFonts w:hint="eastAsia" w:ascii="微软雅黑" w:hAnsi="微软雅黑" w:eastAsia="微软雅黑" w:cs="微软雅黑"/>
          <w:color w:val="auto"/>
          <w:sz w:val="24"/>
          <w:szCs w:val="24"/>
          <w:highlight w:val="none"/>
        </w:rPr>
        <w:t>或负责人</w:t>
      </w:r>
      <w:r>
        <w:rPr>
          <w:rFonts w:hint="eastAsia" w:ascii="微软雅黑" w:hAnsi="微软雅黑" w:eastAsia="微软雅黑" w:cs="微软雅黑"/>
          <w:color w:val="auto"/>
          <w:sz w:val="24"/>
          <w:highlight w:val="none"/>
        </w:rPr>
        <w:t>办理并签署比选响应文件的，不提供此文件。</w:t>
      </w:r>
    </w:p>
    <w:p w14:paraId="4E6CD399">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14:paraId="34DB9202">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14:paraId="7CC3900B">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14:paraId="377E02BE">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14:paraId="1C9FB20C">
      <w:pPr>
        <w:tabs>
          <w:tab w:val="left" w:pos="6300"/>
        </w:tabs>
        <w:snapToGrid w:val="0"/>
        <w:spacing w:line="500" w:lineRule="exact"/>
        <w:ind w:firstLine="480" w:firstLineChars="200"/>
        <w:jc w:val="center"/>
        <w:rPr>
          <w:rFonts w:hint="eastAsia" w:ascii="微软雅黑" w:hAnsi="微软雅黑" w:eastAsia="微软雅黑" w:cs="微软雅黑"/>
          <w:color w:val="auto"/>
          <w:sz w:val="24"/>
          <w:highlight w:val="none"/>
        </w:rPr>
      </w:pPr>
    </w:p>
    <w:p w14:paraId="0E4DFE33">
      <w:pPr>
        <w:tabs>
          <w:tab w:val="left" w:pos="6300"/>
        </w:tabs>
        <w:snapToGrid w:val="0"/>
        <w:spacing w:line="500" w:lineRule="exact"/>
        <w:ind w:firstLine="570"/>
        <w:jc w:val="center"/>
        <w:rPr>
          <w:rFonts w:hint="eastAsia" w:ascii="宋体" w:hAnsi="宋体"/>
          <w:color w:val="auto"/>
          <w:highlight w:val="none"/>
        </w:rPr>
      </w:pPr>
      <w:r>
        <w:rPr>
          <w:rFonts w:hint="eastAsia" w:ascii="微软雅黑" w:hAnsi="微软雅黑" w:eastAsia="微软雅黑" w:cs="微软雅黑"/>
          <w:color w:val="auto"/>
          <w:highlight w:val="none"/>
          <w:lang w:val="en-US" w:eastAsia="zh-CN"/>
        </w:rPr>
        <w:t>6</w:t>
      </w: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highlight w:val="none"/>
          <w:lang w:val="en-US" w:eastAsia="zh-CN"/>
        </w:rPr>
        <w:t>其他人员社保证明</w:t>
      </w:r>
    </w:p>
    <w:p w14:paraId="065A52A1">
      <w:pPr>
        <w:rPr>
          <w:rFonts w:hint="eastAsia"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lang w:val="en-US" w:eastAsia="zh-CN"/>
        </w:rPr>
        <w:br w:type="page"/>
      </w:r>
    </w:p>
    <w:p w14:paraId="2D86AD94">
      <w:pPr>
        <w:tabs>
          <w:tab w:val="left" w:pos="6300"/>
        </w:tabs>
        <w:snapToGrid w:val="0"/>
        <w:spacing w:line="500" w:lineRule="exact"/>
        <w:ind w:firstLine="56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highlight w:val="none"/>
          <w:lang w:val="en-US" w:eastAsia="zh-CN"/>
        </w:rPr>
        <w:t>7</w:t>
      </w:r>
      <w:r>
        <w:rPr>
          <w:rFonts w:hint="eastAsia" w:ascii="微软雅黑" w:hAnsi="微软雅黑" w:eastAsia="微软雅黑" w:cs="微软雅黑"/>
          <w:color w:val="auto"/>
          <w:highlight w:val="none"/>
        </w:rPr>
        <w:t>、基本资格条件承诺函</w:t>
      </w:r>
    </w:p>
    <w:p w14:paraId="1274989C">
      <w:pPr>
        <w:tabs>
          <w:tab w:val="left" w:pos="6300"/>
        </w:tabs>
        <w:snapToGrid w:val="0"/>
        <w:ind w:firstLine="480" w:firstLineChars="200"/>
        <w:rPr>
          <w:rFonts w:hint="eastAsia" w:ascii="微软雅黑" w:hAnsi="微软雅黑" w:eastAsia="微软雅黑" w:cs="微软雅黑"/>
          <w:color w:val="auto"/>
          <w:sz w:val="24"/>
          <w:szCs w:val="24"/>
          <w:highlight w:val="none"/>
        </w:rPr>
      </w:pPr>
    </w:p>
    <w:p w14:paraId="30DDCBAF">
      <w:pPr>
        <w:tabs>
          <w:tab w:val="left" w:pos="6300"/>
        </w:tabs>
        <w:snapToGrid w:val="0"/>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比选项目名称：</w:t>
      </w:r>
      <w:r>
        <w:rPr>
          <w:rFonts w:hint="eastAsia" w:ascii="微软雅黑" w:hAnsi="微软雅黑" w:eastAsia="微软雅黑" w:cs="微软雅黑"/>
          <w:color w:val="auto"/>
          <w:sz w:val="24"/>
          <w:szCs w:val="24"/>
          <w:highlight w:val="none"/>
          <w:u w:val="single"/>
        </w:rPr>
        <w:t xml:space="preserve">                                                </w:t>
      </w:r>
    </w:p>
    <w:p w14:paraId="671061EC">
      <w:pPr>
        <w:tabs>
          <w:tab w:val="left" w:pos="6300"/>
        </w:tabs>
        <w:snapToGrid w:val="0"/>
        <w:spacing w:line="500" w:lineRule="exact"/>
        <w:ind w:firstLine="570"/>
        <w:rPr>
          <w:rFonts w:hint="eastAsia" w:ascii="微软雅黑" w:hAnsi="微软雅黑" w:eastAsia="微软雅黑" w:cs="微软雅黑"/>
          <w:color w:val="auto"/>
          <w:sz w:val="24"/>
          <w:szCs w:val="24"/>
          <w:highlight w:val="none"/>
        </w:rPr>
      </w:pPr>
    </w:p>
    <w:p w14:paraId="00ED47A8">
      <w:pPr>
        <w:tabs>
          <w:tab w:val="left" w:pos="6300"/>
        </w:tabs>
        <w:snapToGrid w:val="0"/>
        <w:spacing w:line="5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致：</w:t>
      </w: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（采购人名称）：</w:t>
      </w:r>
    </w:p>
    <w:p w14:paraId="0B31D9E5">
      <w:pPr>
        <w:tabs>
          <w:tab w:val="left" w:pos="6300"/>
        </w:tabs>
        <w:snapToGrid w:val="0"/>
        <w:spacing w:line="500" w:lineRule="exact"/>
        <w:ind w:firstLine="480" w:firstLineChars="200"/>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u w:val="single"/>
        </w:rPr>
        <w:t xml:space="preserve">                      </w:t>
      </w:r>
      <w:r>
        <w:rPr>
          <w:rFonts w:hint="eastAsia" w:ascii="微软雅黑" w:hAnsi="微软雅黑" w:eastAsia="微软雅黑" w:cs="微软雅黑"/>
          <w:color w:val="auto"/>
          <w:sz w:val="24"/>
          <w:szCs w:val="24"/>
          <w:highlight w:val="none"/>
        </w:rPr>
        <w:t>（采购代理机构名称）郑重承诺：</w:t>
      </w:r>
    </w:p>
    <w:p w14:paraId="51F1845A">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1.我方具有良好的商业信誉和健全的财务会计制度，具有履行合同所必需的设备和专业技术能力，具</w:t>
      </w:r>
      <w:r>
        <w:rPr>
          <w:rFonts w:hint="eastAsia" w:ascii="微软雅黑" w:hAnsi="微软雅黑" w:eastAsia="微软雅黑" w:cs="微软雅黑"/>
          <w:color w:val="auto"/>
          <w:sz w:val="24"/>
          <w:highlight w:val="none"/>
          <w:lang w:val="zh-CN"/>
        </w:rPr>
        <w:t>有依法缴纳税收和社会保障金的良好记录</w:t>
      </w:r>
      <w:r>
        <w:rPr>
          <w:rFonts w:hint="eastAsia" w:ascii="微软雅黑" w:hAnsi="微软雅黑" w:eastAsia="微软雅黑" w:cs="微软雅黑"/>
          <w:color w:val="auto"/>
          <w:sz w:val="24"/>
          <w:highlight w:val="none"/>
        </w:rPr>
        <w:t>，参加本项目采购活动前三年内无重大违法活动记录。</w:t>
      </w:r>
    </w:p>
    <w:p w14:paraId="0515D154">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2.我方未</w:t>
      </w:r>
      <w:r>
        <w:rPr>
          <w:rFonts w:hint="eastAsia" w:ascii="微软雅黑" w:hAnsi="微软雅黑" w:eastAsia="微软雅黑" w:cs="微软雅黑"/>
          <w:color w:val="auto"/>
          <w:sz w:val="24"/>
          <w:highlight w:val="none"/>
          <w:lang w:eastAsia="zh-CN"/>
        </w:rPr>
        <w:t>列入</w:t>
      </w:r>
      <w:r>
        <w:rPr>
          <w:rFonts w:hint="eastAsia" w:ascii="微软雅黑" w:hAnsi="微软雅黑" w:eastAsia="微软雅黑" w:cs="微软雅黑"/>
          <w:color w:val="auto"/>
          <w:sz w:val="24"/>
          <w:highlight w:val="none"/>
        </w:rPr>
        <w:t>信用中国网站（www.creditchina.gov.cn）“失信被执行人”、“重大税收违法案件当事人名单”中，也未列入中国政府采购网（www.ccgp.gov.cn）“政府采购严重违法失信行为记录名单”中。</w:t>
      </w:r>
    </w:p>
    <w:p w14:paraId="6364AB2A">
      <w:pPr>
        <w:keepNext w:val="0"/>
        <w:keepLines w:val="0"/>
        <w:widowControl/>
        <w:suppressLineNumbers w:val="0"/>
        <w:tabs>
          <w:tab w:val="left" w:pos="6300"/>
        </w:tabs>
        <w:snapToGrid w:val="0"/>
        <w:spacing w:before="0" w:beforeAutospacing="0" w:after="0" w:afterAutospacing="0" w:line="500" w:lineRule="exact"/>
        <w:ind w:left="0" w:right="0" w:firstLine="480" w:firstLineChars="200"/>
        <w:jc w:val="left"/>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3.</w:t>
      </w:r>
      <w:r>
        <w:rPr>
          <w:rFonts w:hint="eastAsia" w:ascii="微软雅黑" w:hAnsi="微软雅黑" w:eastAsia="微软雅黑" w:cs="微软雅黑"/>
          <w:color w:val="auto"/>
          <w:kern w:val="2"/>
          <w:sz w:val="24"/>
          <w:szCs w:val="20"/>
          <w:highlight w:val="none"/>
          <w:lang w:val="en-US" w:eastAsia="zh-CN" w:bidi="ar"/>
        </w:rPr>
        <w:t>我方</w:t>
      </w:r>
      <w:r>
        <w:rPr>
          <w:rFonts w:hint="eastAsia" w:ascii="微软雅黑" w:hAnsi="微软雅黑" w:eastAsia="微软雅黑" w:cs="微软雅黑"/>
          <w:i w:val="0"/>
          <w:iCs w:val="0"/>
          <w:caps w:val="0"/>
          <w:color w:val="auto"/>
          <w:spacing w:val="0"/>
          <w:kern w:val="2"/>
          <w:sz w:val="24"/>
          <w:szCs w:val="20"/>
          <w:highlight w:val="none"/>
          <w:lang w:val="en-US" w:eastAsia="zh-CN" w:bidi="ar"/>
        </w:rPr>
        <w:t>在采购项目评审（评标）环节结束后，随时接受采购人、采购代理机构的检查验证，配合提供相关证明材料，证明投标文件（响应文件）的内容是真实的、合法的、有效的，经调查核实为虚假的，视为提供虚假材料谋取中标、成交的违法行为，依照《中华人民共和国政府采购法》等法律法规追究相应责任。</w:t>
      </w:r>
    </w:p>
    <w:p w14:paraId="0D6CA71E">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p>
    <w:p w14:paraId="6E210C39">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我方对以上承诺负全部法律责任。</w:t>
      </w:r>
    </w:p>
    <w:p w14:paraId="3AF7C96E">
      <w:pPr>
        <w:tabs>
          <w:tab w:val="left" w:pos="6300"/>
        </w:tabs>
        <w:snapToGrid w:val="0"/>
        <w:spacing w:line="500" w:lineRule="exact"/>
        <w:ind w:firstLine="480" w:firstLineChars="200"/>
        <w:rPr>
          <w:rFonts w:hint="eastAsia" w:ascii="微软雅黑" w:hAnsi="微软雅黑" w:eastAsia="微软雅黑" w:cs="微软雅黑"/>
          <w:color w:val="auto"/>
          <w:sz w:val="24"/>
          <w:highlight w:val="none"/>
        </w:rPr>
      </w:pPr>
      <w:r>
        <w:rPr>
          <w:rFonts w:hint="eastAsia" w:ascii="微软雅黑" w:hAnsi="微软雅黑" w:eastAsia="微软雅黑" w:cs="微软雅黑"/>
          <w:color w:val="auto"/>
          <w:sz w:val="24"/>
          <w:highlight w:val="none"/>
        </w:rPr>
        <w:t>特此承诺。</w:t>
      </w:r>
    </w:p>
    <w:p w14:paraId="6DA66160">
      <w:pPr>
        <w:tabs>
          <w:tab w:val="left" w:pos="6300"/>
        </w:tabs>
        <w:snapToGrid w:val="0"/>
        <w:ind w:firstLine="480" w:firstLineChars="200"/>
        <w:rPr>
          <w:rFonts w:hint="eastAsia" w:ascii="微软雅黑" w:hAnsi="微软雅黑" w:eastAsia="微软雅黑" w:cs="微软雅黑"/>
          <w:color w:val="auto"/>
          <w:sz w:val="24"/>
          <w:szCs w:val="24"/>
          <w:highlight w:val="none"/>
        </w:rPr>
      </w:pPr>
    </w:p>
    <w:p w14:paraId="11A04FC5">
      <w:pPr>
        <w:tabs>
          <w:tab w:val="left" w:pos="6300"/>
        </w:tabs>
        <w:snapToGrid w:val="0"/>
        <w:ind w:firstLine="570"/>
        <w:rPr>
          <w:rFonts w:hint="eastAsia" w:ascii="微软雅黑" w:hAnsi="微软雅黑" w:eastAsia="微软雅黑" w:cs="微软雅黑"/>
          <w:color w:val="auto"/>
          <w:sz w:val="32"/>
          <w:szCs w:val="22"/>
          <w:highlight w:val="none"/>
        </w:rPr>
      </w:pPr>
    </w:p>
    <w:p w14:paraId="64BB310B">
      <w:pPr>
        <w:tabs>
          <w:tab w:val="left" w:pos="6300"/>
        </w:tabs>
        <w:snapToGrid w:val="0"/>
        <w:ind w:firstLine="570"/>
        <w:rPr>
          <w:rFonts w:hint="eastAsia" w:ascii="微软雅黑" w:hAnsi="微软雅黑" w:eastAsia="微软雅黑" w:cs="微软雅黑"/>
          <w:color w:val="auto"/>
          <w:sz w:val="32"/>
          <w:szCs w:val="22"/>
          <w:highlight w:val="none"/>
        </w:rPr>
      </w:pPr>
    </w:p>
    <w:p w14:paraId="10B41397">
      <w:pPr>
        <w:tabs>
          <w:tab w:val="left" w:pos="6300"/>
        </w:tabs>
        <w:snapToGrid w:val="0"/>
        <w:ind w:firstLine="570"/>
        <w:rPr>
          <w:rFonts w:hint="eastAsia" w:ascii="微软雅黑" w:hAnsi="微软雅黑" w:eastAsia="微软雅黑" w:cs="微软雅黑"/>
          <w:color w:val="auto"/>
          <w:sz w:val="32"/>
          <w:szCs w:val="22"/>
          <w:highlight w:val="none"/>
        </w:rPr>
      </w:pPr>
    </w:p>
    <w:p w14:paraId="56C54991">
      <w:pPr>
        <w:tabs>
          <w:tab w:val="left" w:pos="6300"/>
        </w:tabs>
        <w:snapToGrid w:val="0"/>
        <w:ind w:firstLine="570"/>
        <w:rPr>
          <w:rFonts w:hint="eastAsia" w:ascii="微软雅黑" w:hAnsi="微软雅黑" w:eastAsia="微软雅黑" w:cs="微软雅黑"/>
          <w:color w:val="auto"/>
          <w:sz w:val="32"/>
          <w:szCs w:val="22"/>
          <w:highlight w:val="none"/>
        </w:rPr>
      </w:pPr>
    </w:p>
    <w:p w14:paraId="0E835E9C">
      <w:pPr>
        <w:tabs>
          <w:tab w:val="left" w:pos="6300"/>
        </w:tabs>
        <w:snapToGrid w:val="0"/>
        <w:ind w:right="480" w:firstLine="57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                                        （采购代理机构公章）</w:t>
      </w:r>
    </w:p>
    <w:p w14:paraId="55058815">
      <w:pPr>
        <w:tabs>
          <w:tab w:val="left" w:pos="6300"/>
        </w:tabs>
        <w:snapToGrid w:val="0"/>
        <w:spacing w:line="500" w:lineRule="exact"/>
        <w:ind w:right="480" w:firstLine="6480" w:firstLineChars="2700"/>
        <w:rPr>
          <w:rFonts w:hint="eastAsia" w:ascii="微软雅黑" w:hAnsi="微软雅黑" w:eastAsia="微软雅黑" w:cs="微软雅黑"/>
          <w:color w:val="auto"/>
          <w:highlight w:val="none"/>
        </w:rPr>
      </w:pPr>
      <w:r>
        <w:rPr>
          <w:rFonts w:hint="eastAsia" w:ascii="微软雅黑" w:hAnsi="微软雅黑" w:eastAsia="微软雅黑" w:cs="微软雅黑"/>
          <w:color w:val="auto"/>
          <w:sz w:val="24"/>
          <w:szCs w:val="24"/>
          <w:highlight w:val="none"/>
        </w:rPr>
        <w:t>年   月   日</w:t>
      </w:r>
    </w:p>
    <w:p w14:paraId="6C3FD356">
      <w:pPr>
        <w:rPr>
          <w:rFonts w:hint="eastAsia" w:ascii="微软雅黑" w:hAnsi="微软雅黑" w:eastAsia="微软雅黑" w:cs="微软雅黑"/>
          <w:color w:val="auto"/>
          <w:highlight w:val="none"/>
        </w:rPr>
      </w:pPr>
    </w:p>
    <w:p w14:paraId="391C19D9">
      <w:pPr>
        <w:tabs>
          <w:tab w:val="left" w:pos="6300"/>
        </w:tabs>
        <w:snapToGrid w:val="0"/>
        <w:spacing w:line="50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highlight w:val="none"/>
        </w:rPr>
        <w:br w:type="page"/>
      </w:r>
      <w:r>
        <w:rPr>
          <w:rFonts w:hint="eastAsia" w:ascii="微软雅黑" w:hAnsi="微软雅黑" w:eastAsia="微软雅黑" w:cs="微软雅黑"/>
          <w:color w:val="auto"/>
          <w:sz w:val="24"/>
          <w:szCs w:val="24"/>
          <w:highlight w:val="none"/>
        </w:rPr>
        <w:t>（二）特定资格条件</w:t>
      </w:r>
    </w:p>
    <w:p w14:paraId="4C586A47">
      <w:pPr>
        <w:tabs>
          <w:tab w:val="left" w:pos="6300"/>
        </w:tabs>
        <w:snapToGrid w:val="0"/>
        <w:spacing w:line="500" w:lineRule="exact"/>
        <w:outlineLvl w:val="0"/>
        <w:rPr>
          <w:rFonts w:hint="eastAsia" w:ascii="微软雅黑" w:hAnsi="微软雅黑" w:eastAsia="微软雅黑" w:cs="微软雅黑"/>
          <w:color w:val="auto"/>
          <w:sz w:val="24"/>
          <w:szCs w:val="24"/>
          <w:highlight w:val="none"/>
        </w:rPr>
      </w:pPr>
    </w:p>
    <w:p w14:paraId="558805B8">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14:paraId="1EC44030">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14:paraId="47D62109">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14:paraId="7838A98C">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14:paraId="580FDE31">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14:paraId="7AA3165E">
      <w:pPr>
        <w:tabs>
          <w:tab w:val="left" w:pos="6300"/>
        </w:tabs>
        <w:snapToGrid w:val="0"/>
        <w:spacing w:line="500" w:lineRule="exact"/>
        <w:outlineLvl w:val="0"/>
        <w:rPr>
          <w:rFonts w:hint="eastAsia" w:ascii="微软雅黑" w:hAnsi="微软雅黑" w:eastAsia="微软雅黑" w:cs="微软雅黑"/>
          <w:color w:val="auto"/>
          <w:sz w:val="21"/>
          <w:szCs w:val="21"/>
          <w:highlight w:val="none"/>
        </w:rPr>
      </w:pPr>
    </w:p>
    <w:p w14:paraId="17BDB7EC">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（三）评审因素需提供的资料（自附）</w:t>
      </w:r>
    </w:p>
    <w:p w14:paraId="7976D766">
      <w:pPr>
        <w:spacing w:line="480" w:lineRule="exact"/>
        <w:rPr>
          <w:rFonts w:hint="eastAsia" w:ascii="微软雅黑" w:hAnsi="微软雅黑" w:eastAsia="微软雅黑" w:cs="微软雅黑"/>
          <w:color w:val="auto"/>
          <w:sz w:val="24"/>
          <w:szCs w:val="24"/>
          <w:highlight w:val="none"/>
        </w:rPr>
      </w:pPr>
    </w:p>
    <w:p w14:paraId="738C16D3">
      <w:pPr>
        <w:spacing w:line="480" w:lineRule="exact"/>
        <w:rPr>
          <w:rFonts w:hint="eastAsia" w:ascii="微软雅黑" w:hAnsi="微软雅黑" w:eastAsia="微软雅黑" w:cs="微软雅黑"/>
          <w:color w:val="auto"/>
          <w:sz w:val="24"/>
          <w:szCs w:val="24"/>
          <w:highlight w:val="none"/>
        </w:rPr>
      </w:pPr>
    </w:p>
    <w:p w14:paraId="7EBC2682">
      <w:pPr>
        <w:spacing w:line="480" w:lineRule="exact"/>
        <w:rPr>
          <w:rFonts w:hint="eastAsia" w:ascii="微软雅黑" w:hAnsi="微软雅黑" w:eastAsia="微软雅黑" w:cs="微软雅黑"/>
          <w:color w:val="auto"/>
          <w:sz w:val="24"/>
          <w:szCs w:val="24"/>
          <w:highlight w:val="none"/>
        </w:rPr>
      </w:pPr>
    </w:p>
    <w:p w14:paraId="20BA7FA6">
      <w:pPr>
        <w:spacing w:line="480" w:lineRule="exact"/>
        <w:rPr>
          <w:rFonts w:hint="eastAsia" w:ascii="微软雅黑" w:hAnsi="微软雅黑" w:eastAsia="微软雅黑" w:cs="微软雅黑"/>
          <w:color w:val="auto"/>
          <w:sz w:val="24"/>
          <w:szCs w:val="24"/>
          <w:highlight w:val="none"/>
        </w:rPr>
      </w:pPr>
    </w:p>
    <w:p w14:paraId="10FAEA77">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 xml:space="preserve">（四）其他应提供的资料（自附） </w:t>
      </w:r>
    </w:p>
    <w:p w14:paraId="170394E5">
      <w:pPr>
        <w:spacing w:line="48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 xml:space="preserve">  </w:t>
      </w:r>
    </w:p>
    <w:p w14:paraId="6C7C841E">
      <w:pPr>
        <w:spacing w:line="480" w:lineRule="exact"/>
        <w:rPr>
          <w:rFonts w:hint="eastAsia" w:ascii="微软雅黑" w:hAnsi="微软雅黑" w:eastAsia="微软雅黑" w:cs="微软雅黑"/>
          <w:color w:val="auto"/>
          <w:sz w:val="24"/>
          <w:szCs w:val="24"/>
          <w:highlight w:val="none"/>
        </w:rPr>
      </w:pPr>
      <w:bookmarkStart w:id="123" w:name="_Toc531873561"/>
    </w:p>
    <w:p w14:paraId="711C99EB">
      <w:pPr>
        <w:spacing w:line="480" w:lineRule="exact"/>
        <w:rPr>
          <w:rFonts w:hint="eastAsia" w:ascii="微软雅黑" w:hAnsi="微软雅黑" w:eastAsia="微软雅黑" w:cs="微软雅黑"/>
          <w:color w:val="auto"/>
          <w:sz w:val="24"/>
          <w:szCs w:val="24"/>
          <w:highlight w:val="none"/>
        </w:rPr>
      </w:pPr>
    </w:p>
    <w:p w14:paraId="3CE34DE0">
      <w:pPr>
        <w:spacing w:line="480" w:lineRule="exact"/>
        <w:rPr>
          <w:rFonts w:hint="eastAsia" w:ascii="微软雅黑" w:hAnsi="微软雅黑" w:eastAsia="微软雅黑" w:cs="微软雅黑"/>
          <w:color w:val="auto"/>
          <w:sz w:val="24"/>
          <w:szCs w:val="24"/>
          <w:highlight w:val="none"/>
        </w:rPr>
      </w:pPr>
    </w:p>
    <w:p w14:paraId="589B7997">
      <w:pPr>
        <w:spacing w:line="480" w:lineRule="exact"/>
        <w:rPr>
          <w:rFonts w:hint="eastAsia" w:ascii="微软雅黑" w:hAnsi="微软雅黑" w:eastAsia="微软雅黑" w:cs="微软雅黑"/>
          <w:color w:val="auto"/>
          <w:sz w:val="24"/>
          <w:szCs w:val="24"/>
          <w:highlight w:val="none"/>
        </w:rPr>
      </w:pPr>
    </w:p>
    <w:p w14:paraId="1D2294DB">
      <w:pPr>
        <w:spacing w:line="480" w:lineRule="exact"/>
        <w:rPr>
          <w:rFonts w:hint="eastAsia" w:ascii="微软雅黑" w:hAnsi="微软雅黑" w:eastAsia="微软雅黑" w:cs="微软雅黑"/>
          <w:color w:val="auto"/>
          <w:sz w:val="24"/>
          <w:szCs w:val="24"/>
          <w:highlight w:val="none"/>
        </w:rPr>
      </w:pPr>
    </w:p>
    <w:p w14:paraId="0056A41B">
      <w:pPr>
        <w:spacing w:line="480" w:lineRule="exact"/>
        <w:rPr>
          <w:rFonts w:hint="eastAsia" w:ascii="微软雅黑" w:hAnsi="微软雅黑" w:eastAsia="微软雅黑" w:cs="微软雅黑"/>
          <w:color w:val="auto"/>
          <w:sz w:val="24"/>
          <w:szCs w:val="24"/>
          <w:highlight w:val="none"/>
        </w:rPr>
      </w:pPr>
    </w:p>
    <w:p w14:paraId="28956E71">
      <w:pPr>
        <w:spacing w:line="480" w:lineRule="exact"/>
        <w:rPr>
          <w:rFonts w:hint="eastAsia" w:ascii="微软雅黑" w:hAnsi="微软雅黑" w:eastAsia="微软雅黑" w:cs="微软雅黑"/>
          <w:color w:val="auto"/>
          <w:sz w:val="24"/>
          <w:szCs w:val="24"/>
          <w:highlight w:val="none"/>
        </w:rPr>
      </w:pPr>
    </w:p>
    <w:p w14:paraId="0EDAFA25">
      <w:pPr>
        <w:spacing w:line="480" w:lineRule="exact"/>
        <w:rPr>
          <w:rFonts w:hint="eastAsia" w:ascii="微软雅黑" w:hAnsi="微软雅黑" w:eastAsia="微软雅黑" w:cs="微软雅黑"/>
          <w:color w:val="auto"/>
          <w:sz w:val="24"/>
          <w:szCs w:val="24"/>
          <w:highlight w:val="none"/>
        </w:rPr>
      </w:pPr>
    </w:p>
    <w:p w14:paraId="5D95BE5B">
      <w:pPr>
        <w:spacing w:line="480" w:lineRule="exact"/>
        <w:rPr>
          <w:rFonts w:hint="eastAsia" w:ascii="微软雅黑" w:hAnsi="微软雅黑" w:eastAsia="微软雅黑" w:cs="微软雅黑"/>
          <w:color w:val="auto"/>
          <w:sz w:val="24"/>
          <w:szCs w:val="24"/>
          <w:highlight w:val="none"/>
        </w:rPr>
      </w:pPr>
    </w:p>
    <w:p w14:paraId="30F5E77D">
      <w:pPr>
        <w:spacing w:line="480" w:lineRule="exact"/>
        <w:rPr>
          <w:rFonts w:hint="eastAsia" w:ascii="微软雅黑" w:hAnsi="微软雅黑" w:eastAsia="微软雅黑" w:cs="微软雅黑"/>
          <w:color w:val="auto"/>
          <w:sz w:val="24"/>
          <w:szCs w:val="24"/>
          <w:highlight w:val="none"/>
        </w:rPr>
      </w:pPr>
    </w:p>
    <w:p w14:paraId="650F4F57">
      <w:pPr>
        <w:spacing w:line="480" w:lineRule="exact"/>
        <w:rPr>
          <w:rFonts w:hint="eastAsia" w:ascii="微软雅黑" w:hAnsi="微软雅黑" w:eastAsia="微软雅黑" w:cs="微软雅黑"/>
          <w:color w:val="auto"/>
          <w:sz w:val="24"/>
          <w:szCs w:val="24"/>
          <w:highlight w:val="none"/>
        </w:rPr>
      </w:pPr>
    </w:p>
    <w:p w14:paraId="1271E686">
      <w:pPr>
        <w:spacing w:line="480" w:lineRule="exact"/>
        <w:rPr>
          <w:rFonts w:hint="eastAsia" w:ascii="微软雅黑" w:hAnsi="微软雅黑" w:eastAsia="微软雅黑" w:cs="微软雅黑"/>
          <w:color w:val="auto"/>
          <w:sz w:val="24"/>
          <w:szCs w:val="24"/>
          <w:highlight w:val="none"/>
        </w:rPr>
      </w:pPr>
    </w:p>
    <w:p w14:paraId="6149B11A">
      <w:pPr>
        <w:pStyle w:val="5"/>
        <w:rPr>
          <w:color w:val="auto"/>
          <w:highlight w:val="none"/>
        </w:rPr>
      </w:pPr>
    </w:p>
    <w:p w14:paraId="1FE66455">
      <w:pPr>
        <w:spacing w:line="480" w:lineRule="exact"/>
        <w:rPr>
          <w:rFonts w:hint="eastAsia" w:ascii="微软雅黑" w:hAnsi="微软雅黑" w:eastAsia="微软雅黑" w:cs="微软雅黑"/>
          <w:color w:val="auto"/>
          <w:sz w:val="24"/>
          <w:szCs w:val="24"/>
          <w:highlight w:val="none"/>
        </w:rPr>
      </w:pPr>
    </w:p>
    <w:p w14:paraId="23EC7369">
      <w:pPr>
        <w:spacing w:line="480" w:lineRule="exact"/>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(五) 采购代理机构基本情况表</w:t>
      </w:r>
      <w:bookmarkEnd w:id="123"/>
    </w:p>
    <w:p w14:paraId="74191FA4">
      <w:pPr>
        <w:autoSpaceDE w:val="0"/>
        <w:autoSpaceDN w:val="0"/>
        <w:adjustRightInd w:val="0"/>
        <w:spacing w:line="400" w:lineRule="exact"/>
        <w:rPr>
          <w:rFonts w:hint="eastAsia" w:ascii="微软雅黑" w:hAnsi="微软雅黑" w:eastAsia="微软雅黑" w:cs="微软雅黑"/>
          <w:b/>
          <w:bCs/>
          <w:color w:val="auto"/>
          <w:szCs w:val="18"/>
          <w:highlight w:val="none"/>
          <w:lang w:val="zh-CN"/>
        </w:rPr>
      </w:pPr>
    </w:p>
    <w:tbl>
      <w:tblPr>
        <w:tblStyle w:val="15"/>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134"/>
        <w:gridCol w:w="2052"/>
        <w:gridCol w:w="1204"/>
        <w:gridCol w:w="2307"/>
      </w:tblGrid>
      <w:tr w14:paraId="011F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10860981">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采购代理机构名称</w:t>
            </w:r>
          </w:p>
        </w:tc>
        <w:tc>
          <w:tcPr>
            <w:tcW w:w="6697" w:type="dxa"/>
            <w:gridSpan w:val="4"/>
            <w:vAlign w:val="center"/>
          </w:tcPr>
          <w:p w14:paraId="0D66F2B4">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14:paraId="1DEC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7C9D371F">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注册地址</w:t>
            </w:r>
          </w:p>
        </w:tc>
        <w:tc>
          <w:tcPr>
            <w:tcW w:w="3186" w:type="dxa"/>
            <w:gridSpan w:val="2"/>
            <w:vAlign w:val="center"/>
          </w:tcPr>
          <w:p w14:paraId="00A43522">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14:paraId="35F813DE">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邮政编码</w:t>
            </w:r>
          </w:p>
        </w:tc>
        <w:tc>
          <w:tcPr>
            <w:tcW w:w="2307" w:type="dxa"/>
            <w:vAlign w:val="center"/>
          </w:tcPr>
          <w:p w14:paraId="6A976324">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14:paraId="5ED0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Merge w:val="restart"/>
            <w:vAlign w:val="center"/>
          </w:tcPr>
          <w:p w14:paraId="4B6E3FDC">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联系方式</w:t>
            </w:r>
          </w:p>
        </w:tc>
        <w:tc>
          <w:tcPr>
            <w:tcW w:w="1134" w:type="dxa"/>
            <w:vAlign w:val="center"/>
          </w:tcPr>
          <w:p w14:paraId="7CE92F20">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联系人</w:t>
            </w:r>
          </w:p>
        </w:tc>
        <w:tc>
          <w:tcPr>
            <w:tcW w:w="2052" w:type="dxa"/>
            <w:vAlign w:val="center"/>
          </w:tcPr>
          <w:p w14:paraId="09CC19F7">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14:paraId="5A588F68">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电话</w:t>
            </w:r>
          </w:p>
        </w:tc>
        <w:tc>
          <w:tcPr>
            <w:tcW w:w="2307" w:type="dxa"/>
            <w:vAlign w:val="center"/>
          </w:tcPr>
          <w:p w14:paraId="3ACC185B">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14:paraId="607E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Merge w:val="continue"/>
            <w:vAlign w:val="center"/>
          </w:tcPr>
          <w:p w14:paraId="564A19AF">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134" w:type="dxa"/>
            <w:vAlign w:val="center"/>
          </w:tcPr>
          <w:p w14:paraId="4F5CC251">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传真</w:t>
            </w:r>
          </w:p>
        </w:tc>
        <w:tc>
          <w:tcPr>
            <w:tcW w:w="2052" w:type="dxa"/>
            <w:vAlign w:val="center"/>
          </w:tcPr>
          <w:p w14:paraId="078EA325">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14:paraId="31E96D09">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网址</w:t>
            </w:r>
          </w:p>
        </w:tc>
        <w:tc>
          <w:tcPr>
            <w:tcW w:w="2307" w:type="dxa"/>
            <w:vAlign w:val="center"/>
          </w:tcPr>
          <w:p w14:paraId="66DD80BC">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14:paraId="4BEF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3547973D">
            <w:pPr>
              <w:autoSpaceDE w:val="0"/>
              <w:autoSpaceDN w:val="0"/>
              <w:adjustRightInd w:val="0"/>
              <w:spacing w:line="400" w:lineRule="exact"/>
              <w:jc w:val="center"/>
              <w:rPr>
                <w:rFonts w:hint="eastAsia" w:ascii="微软雅黑" w:hAnsi="微软雅黑" w:eastAsia="微软雅黑" w:cs="微软雅黑"/>
                <w:bCs/>
                <w:color w:val="auto"/>
                <w:sz w:val="24"/>
                <w:highlight w:val="none"/>
              </w:rPr>
            </w:pPr>
            <w:r>
              <w:rPr>
                <w:rFonts w:hint="eastAsia" w:ascii="微软雅黑" w:hAnsi="微软雅黑" w:eastAsia="微软雅黑" w:cs="微软雅黑"/>
                <w:bCs/>
                <w:color w:val="auto"/>
                <w:sz w:val="24"/>
                <w:highlight w:val="none"/>
                <w:lang w:val="zh-CN"/>
              </w:rPr>
              <w:t>法定代表人</w:t>
            </w:r>
            <w:r>
              <w:rPr>
                <w:rFonts w:hint="eastAsia" w:ascii="微软雅黑" w:hAnsi="微软雅黑" w:eastAsia="微软雅黑" w:cs="微软雅黑"/>
                <w:bCs/>
                <w:color w:val="auto"/>
                <w:sz w:val="24"/>
                <w:highlight w:val="none"/>
              </w:rPr>
              <w:t>或负责人</w:t>
            </w:r>
          </w:p>
        </w:tc>
        <w:tc>
          <w:tcPr>
            <w:tcW w:w="1134" w:type="dxa"/>
            <w:vAlign w:val="center"/>
          </w:tcPr>
          <w:p w14:paraId="2B2A6B72">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姓名</w:t>
            </w:r>
          </w:p>
        </w:tc>
        <w:tc>
          <w:tcPr>
            <w:tcW w:w="2052" w:type="dxa"/>
            <w:vAlign w:val="center"/>
          </w:tcPr>
          <w:p w14:paraId="559B36F8">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c>
          <w:tcPr>
            <w:tcW w:w="1204" w:type="dxa"/>
            <w:vAlign w:val="center"/>
          </w:tcPr>
          <w:p w14:paraId="1951AF1E">
            <w:pPr>
              <w:autoSpaceDE w:val="0"/>
              <w:autoSpaceDN w:val="0"/>
              <w:adjustRightInd w:val="0"/>
              <w:spacing w:line="400" w:lineRule="exact"/>
              <w:ind w:firstLine="240" w:firstLineChars="100"/>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电话</w:t>
            </w:r>
          </w:p>
        </w:tc>
        <w:tc>
          <w:tcPr>
            <w:tcW w:w="2307" w:type="dxa"/>
            <w:vAlign w:val="center"/>
          </w:tcPr>
          <w:p w14:paraId="1FE2E6E7">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14:paraId="4C9B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50DA02F6">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成立时间</w:t>
            </w:r>
          </w:p>
        </w:tc>
        <w:tc>
          <w:tcPr>
            <w:tcW w:w="6697" w:type="dxa"/>
            <w:gridSpan w:val="4"/>
            <w:vAlign w:val="center"/>
          </w:tcPr>
          <w:p w14:paraId="4F76308C">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p>
        </w:tc>
      </w:tr>
      <w:tr w14:paraId="2846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27102FE7">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资质等级（若有）</w:t>
            </w:r>
          </w:p>
        </w:tc>
        <w:tc>
          <w:tcPr>
            <w:tcW w:w="6697" w:type="dxa"/>
            <w:gridSpan w:val="4"/>
            <w:vAlign w:val="center"/>
          </w:tcPr>
          <w:p w14:paraId="2C260892">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14:paraId="12D4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7AEFE31B">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营业执照号</w:t>
            </w:r>
          </w:p>
        </w:tc>
        <w:tc>
          <w:tcPr>
            <w:tcW w:w="6697" w:type="dxa"/>
            <w:gridSpan w:val="4"/>
            <w:vAlign w:val="center"/>
          </w:tcPr>
          <w:p w14:paraId="790A5C74">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14:paraId="697A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21F97742">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注册资金</w:t>
            </w:r>
          </w:p>
        </w:tc>
        <w:tc>
          <w:tcPr>
            <w:tcW w:w="6697" w:type="dxa"/>
            <w:gridSpan w:val="4"/>
            <w:vAlign w:val="center"/>
          </w:tcPr>
          <w:p w14:paraId="547CF1A3">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14:paraId="4932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5AC3EC39">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开户银行</w:t>
            </w:r>
          </w:p>
        </w:tc>
        <w:tc>
          <w:tcPr>
            <w:tcW w:w="6697" w:type="dxa"/>
            <w:gridSpan w:val="4"/>
            <w:vAlign w:val="center"/>
          </w:tcPr>
          <w:p w14:paraId="7571EF55">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14:paraId="6302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263" w:type="dxa"/>
            <w:vAlign w:val="center"/>
          </w:tcPr>
          <w:p w14:paraId="1EC784FF">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账   号</w:t>
            </w:r>
          </w:p>
        </w:tc>
        <w:tc>
          <w:tcPr>
            <w:tcW w:w="6697" w:type="dxa"/>
            <w:gridSpan w:val="4"/>
            <w:vAlign w:val="center"/>
          </w:tcPr>
          <w:p w14:paraId="2B138E98">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14:paraId="49F88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jc w:val="center"/>
        </w:trPr>
        <w:tc>
          <w:tcPr>
            <w:tcW w:w="2263" w:type="dxa"/>
            <w:vAlign w:val="center"/>
          </w:tcPr>
          <w:p w14:paraId="56AB5D65">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经营范围</w:t>
            </w:r>
          </w:p>
        </w:tc>
        <w:tc>
          <w:tcPr>
            <w:tcW w:w="6697" w:type="dxa"/>
            <w:gridSpan w:val="4"/>
            <w:vAlign w:val="center"/>
          </w:tcPr>
          <w:p w14:paraId="12EF9647">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r w14:paraId="50F2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jc w:val="center"/>
        </w:trPr>
        <w:tc>
          <w:tcPr>
            <w:tcW w:w="2263" w:type="dxa"/>
            <w:vAlign w:val="center"/>
          </w:tcPr>
          <w:p w14:paraId="3E1630FF">
            <w:pPr>
              <w:autoSpaceDE w:val="0"/>
              <w:autoSpaceDN w:val="0"/>
              <w:adjustRightInd w:val="0"/>
              <w:spacing w:line="400" w:lineRule="exact"/>
              <w:jc w:val="center"/>
              <w:rPr>
                <w:rFonts w:hint="eastAsia" w:ascii="微软雅黑" w:hAnsi="微软雅黑" w:eastAsia="微软雅黑" w:cs="微软雅黑"/>
                <w:bCs/>
                <w:color w:val="auto"/>
                <w:sz w:val="24"/>
                <w:highlight w:val="none"/>
                <w:lang w:val="zh-CN"/>
              </w:rPr>
            </w:pPr>
            <w:r>
              <w:rPr>
                <w:rFonts w:hint="eastAsia" w:ascii="微软雅黑" w:hAnsi="微软雅黑" w:eastAsia="微软雅黑" w:cs="微软雅黑"/>
                <w:bCs/>
                <w:color w:val="auto"/>
                <w:sz w:val="24"/>
                <w:highlight w:val="none"/>
                <w:lang w:val="zh-CN"/>
              </w:rPr>
              <w:t>备    注</w:t>
            </w:r>
          </w:p>
        </w:tc>
        <w:tc>
          <w:tcPr>
            <w:tcW w:w="6697" w:type="dxa"/>
            <w:gridSpan w:val="4"/>
            <w:vAlign w:val="center"/>
          </w:tcPr>
          <w:p w14:paraId="078F0798">
            <w:pPr>
              <w:autoSpaceDE w:val="0"/>
              <w:autoSpaceDN w:val="0"/>
              <w:adjustRightInd w:val="0"/>
              <w:spacing w:line="400" w:lineRule="exact"/>
              <w:rPr>
                <w:rFonts w:hint="eastAsia" w:ascii="微软雅黑" w:hAnsi="微软雅黑" w:eastAsia="微软雅黑" w:cs="微软雅黑"/>
                <w:bCs/>
                <w:color w:val="auto"/>
                <w:sz w:val="24"/>
                <w:highlight w:val="none"/>
                <w:lang w:val="zh-CN"/>
              </w:rPr>
            </w:pPr>
          </w:p>
        </w:tc>
      </w:tr>
    </w:tbl>
    <w:p w14:paraId="6C545053">
      <w:pPr>
        <w:pStyle w:val="22"/>
        <w:tabs>
          <w:tab w:val="left" w:pos="3023"/>
        </w:tabs>
        <w:jc w:val="both"/>
        <w:rPr>
          <w:rFonts w:hint="eastAsia" w:ascii="宋体" w:hAnsi="宋体" w:eastAsia="宋体" w:cs="宋体"/>
          <w:color w:val="auto"/>
          <w:sz w:val="36"/>
          <w:szCs w:val="36"/>
          <w:highlight w:val="none"/>
        </w:rPr>
      </w:pPr>
      <w:bookmarkStart w:id="124" w:name="_Toc25408"/>
      <w:bookmarkStart w:id="125" w:name="_Toc8480"/>
      <w:bookmarkStart w:id="126" w:name="_Toc481430160"/>
      <w:bookmarkStart w:id="127" w:name="_Toc28902"/>
    </w:p>
    <w:p w14:paraId="417DF1E4">
      <w:pPr>
        <w:pStyle w:val="22"/>
        <w:tabs>
          <w:tab w:val="left" w:pos="3023"/>
        </w:tabs>
        <w:jc w:val="both"/>
        <w:rPr>
          <w:rFonts w:hint="eastAsia" w:ascii="宋体" w:hAnsi="宋体" w:eastAsia="宋体" w:cs="宋体"/>
          <w:color w:val="auto"/>
          <w:sz w:val="36"/>
          <w:szCs w:val="36"/>
          <w:highlight w:val="none"/>
        </w:rPr>
      </w:pPr>
    </w:p>
    <w:p w14:paraId="64D8EC56">
      <w:pPr>
        <w:pStyle w:val="22"/>
        <w:tabs>
          <w:tab w:val="left" w:pos="3023"/>
        </w:tabs>
        <w:jc w:val="both"/>
        <w:rPr>
          <w:rFonts w:hint="eastAsia" w:ascii="宋体" w:hAnsi="宋体" w:eastAsia="宋体" w:cs="宋体"/>
          <w:color w:val="auto"/>
          <w:sz w:val="36"/>
          <w:szCs w:val="36"/>
          <w:highlight w:val="none"/>
        </w:rPr>
      </w:pPr>
    </w:p>
    <w:p w14:paraId="73EEFD6C">
      <w:pPr>
        <w:pStyle w:val="22"/>
        <w:tabs>
          <w:tab w:val="left" w:pos="3023"/>
        </w:tabs>
        <w:jc w:val="both"/>
        <w:rPr>
          <w:rFonts w:hint="eastAsia" w:ascii="宋体" w:hAnsi="宋体" w:eastAsia="宋体" w:cs="宋体"/>
          <w:color w:val="auto"/>
          <w:sz w:val="36"/>
          <w:szCs w:val="36"/>
          <w:highlight w:val="none"/>
        </w:rPr>
      </w:pPr>
    </w:p>
    <w:p w14:paraId="7988FE36">
      <w:pPr>
        <w:pStyle w:val="22"/>
        <w:tabs>
          <w:tab w:val="left" w:pos="3023"/>
        </w:tabs>
        <w:jc w:val="both"/>
        <w:rPr>
          <w:rFonts w:hint="eastAsia" w:ascii="宋体" w:hAnsi="宋体" w:eastAsia="宋体" w:cs="宋体"/>
          <w:color w:val="auto"/>
          <w:sz w:val="36"/>
          <w:szCs w:val="36"/>
          <w:highlight w:val="none"/>
        </w:rPr>
      </w:pPr>
    </w:p>
    <w:p w14:paraId="6C1E040C">
      <w:pPr>
        <w:pStyle w:val="22"/>
        <w:tabs>
          <w:tab w:val="left" w:pos="3023"/>
        </w:tabs>
        <w:jc w:val="both"/>
        <w:rPr>
          <w:rFonts w:hint="eastAsia" w:ascii="宋体" w:hAnsi="宋体" w:eastAsia="宋体" w:cs="宋体"/>
          <w:color w:val="auto"/>
          <w:sz w:val="36"/>
          <w:szCs w:val="36"/>
          <w:highlight w:val="none"/>
        </w:rPr>
      </w:pPr>
    </w:p>
    <w:bookmarkEnd w:id="124"/>
    <w:bookmarkEnd w:id="125"/>
    <w:bookmarkEnd w:id="126"/>
    <w:bookmarkEnd w:id="127"/>
    <w:p w14:paraId="699D8AB0">
      <w:pPr>
        <w:spacing w:line="480" w:lineRule="exact"/>
        <w:rPr>
          <w:rFonts w:hint="eastAsia" w:ascii="微软雅黑" w:hAnsi="微软雅黑" w:eastAsia="微软雅黑" w:cs="微软雅黑"/>
          <w:color w:val="auto"/>
          <w:sz w:val="21"/>
          <w:szCs w:val="21"/>
          <w:highlight w:val="none"/>
        </w:rPr>
      </w:pPr>
    </w:p>
    <w:p w14:paraId="536237BF">
      <w:pPr>
        <w:spacing w:line="480" w:lineRule="exact"/>
        <w:ind w:firstLine="420" w:firstLineChars="200"/>
        <w:jc w:val="center"/>
        <w:rPr>
          <w:rFonts w:hint="eastAsia" w:ascii="微软雅黑" w:hAnsi="微软雅黑" w:eastAsia="微软雅黑" w:cs="微软雅黑"/>
          <w:color w:val="auto"/>
          <w:sz w:val="21"/>
          <w:szCs w:val="21"/>
          <w:highlight w:val="none"/>
        </w:rPr>
      </w:pPr>
    </w:p>
    <w:p w14:paraId="5B15B7CB">
      <w:pPr>
        <w:spacing w:line="480" w:lineRule="exact"/>
        <w:ind w:firstLine="420" w:firstLineChars="200"/>
        <w:jc w:val="center"/>
        <w:rPr>
          <w:rFonts w:hint="eastAsia" w:ascii="微软雅黑" w:hAnsi="微软雅黑" w:eastAsia="微软雅黑" w:cs="微软雅黑"/>
          <w:color w:val="auto"/>
          <w:sz w:val="21"/>
          <w:szCs w:val="21"/>
          <w:highlight w:val="none"/>
        </w:rPr>
      </w:pPr>
    </w:p>
    <w:p w14:paraId="554D3641">
      <w:pPr>
        <w:spacing w:line="480" w:lineRule="exact"/>
        <w:ind w:firstLine="480" w:firstLineChars="200"/>
        <w:jc w:val="center"/>
        <w:rPr>
          <w:rFonts w:hint="eastAsia" w:ascii="微软雅黑" w:hAnsi="微软雅黑" w:eastAsia="微软雅黑" w:cs="微软雅黑"/>
          <w:color w:val="auto"/>
          <w:sz w:val="24"/>
          <w:szCs w:val="24"/>
          <w:highlight w:val="none"/>
        </w:rPr>
      </w:pPr>
      <w:r>
        <w:rPr>
          <w:rFonts w:hint="eastAsia" w:ascii="微软雅黑" w:hAnsi="微软雅黑" w:eastAsia="微软雅黑" w:cs="微软雅黑"/>
          <w:color w:val="auto"/>
          <w:sz w:val="24"/>
          <w:szCs w:val="24"/>
          <w:highlight w:val="none"/>
        </w:rPr>
        <w:t>（结束）</w:t>
      </w:r>
    </w:p>
    <w:p w14:paraId="6F3F15E4">
      <w:pPr>
        <w:rPr>
          <w:rFonts w:hint="eastAsia"/>
          <w:color w:val="auto"/>
          <w:highlight w:val="none"/>
        </w:rPr>
      </w:pPr>
    </w:p>
    <w:sectPr>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0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D7BA3">
    <w:pPr>
      <w:pStyle w:val="9"/>
      <w:framePr w:wrap="around" w:vAnchor="text" w:hAnchor="margin" w:xAlign="center" w:y="1"/>
      <w:jc w:val="center"/>
      <w:rPr>
        <w:rStyle w:val="18"/>
        <w:rFonts w:ascii="宋体"/>
        <w:szCs w:val="18"/>
      </w:rPr>
    </w:pPr>
    <w:r>
      <w:rPr>
        <w:rFonts w:ascii="宋体"/>
        <w:szCs w:val="18"/>
      </w:rPr>
      <w:fldChar w:fldCharType="begin"/>
    </w:r>
    <w:r>
      <w:rPr>
        <w:rStyle w:val="18"/>
        <w:rFonts w:ascii="宋体"/>
        <w:szCs w:val="18"/>
      </w:rPr>
      <w:instrText xml:space="preserve">PAGE  </w:instrText>
    </w:r>
    <w:r>
      <w:rPr>
        <w:rFonts w:ascii="宋体"/>
        <w:szCs w:val="18"/>
      </w:rPr>
      <w:fldChar w:fldCharType="separate"/>
    </w:r>
    <w:r>
      <w:rPr>
        <w:rStyle w:val="18"/>
        <w:rFonts w:ascii="宋体"/>
        <w:szCs w:val="18"/>
      </w:rPr>
      <w:t>12</w:t>
    </w:r>
    <w:r>
      <w:rPr>
        <w:rFonts w:ascii="宋体"/>
        <w:szCs w:val="18"/>
      </w:rPr>
      <w:fldChar w:fldCharType="end"/>
    </w:r>
  </w:p>
  <w:p w14:paraId="3394F0BB">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7FB03">
    <w:pPr>
      <w:pStyle w:val="9"/>
      <w:framePr w:wrap="around" w:vAnchor="text" w:hAnchor="margin" w:xAlign="center" w:y="1"/>
      <w:rPr>
        <w:rStyle w:val="18"/>
      </w:rPr>
    </w:pPr>
    <w:r>
      <w:fldChar w:fldCharType="begin"/>
    </w:r>
    <w:r>
      <w:rPr>
        <w:rStyle w:val="18"/>
      </w:rPr>
      <w:instrText xml:space="preserve">PAGE  </w:instrText>
    </w:r>
    <w:r>
      <w:fldChar w:fldCharType="end"/>
    </w:r>
  </w:p>
  <w:p w14:paraId="2C83F245">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09732">
    <w:pPr>
      <w:pStyle w:val="9"/>
      <w:framePr w:wrap="around" w:vAnchor="text" w:hAnchor="margin" w:xAlign="center" w:y="1"/>
      <w:rPr>
        <w:rStyle w:val="18"/>
      </w:rPr>
    </w:pPr>
  </w:p>
  <w:p w14:paraId="30211DAB">
    <w:pPr>
      <w:pStyle w:val="9"/>
      <w:jc w:val="center"/>
      <w:rPr>
        <w:rFonts w:hint="eastAsia"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601EF">
    <w:pPr>
      <w:pStyle w:val="9"/>
      <w:jc w:val="center"/>
      <w:rPr>
        <w:rFonts w:hint="eastAsia" w:ascii="宋体" w:hAnsi="宋体"/>
        <w:szCs w:val="18"/>
      </w:rPr>
    </w:pPr>
    <w:r>
      <w:rPr>
        <w:rFonts w:ascii="宋体" w:hAnsi="宋体"/>
        <w:szCs w:val="18"/>
      </w:rPr>
      <w:fldChar w:fldCharType="begin"/>
    </w:r>
    <w:r>
      <w:rPr>
        <w:rStyle w:val="18"/>
        <w:rFonts w:ascii="宋体" w:hAnsi="宋体"/>
        <w:szCs w:val="18"/>
      </w:rPr>
      <w:instrText xml:space="preserve"> PAGE </w:instrText>
    </w:r>
    <w:r>
      <w:rPr>
        <w:rFonts w:ascii="宋体" w:hAnsi="宋体"/>
        <w:szCs w:val="18"/>
      </w:rPr>
      <w:fldChar w:fldCharType="separate"/>
    </w:r>
    <w:r>
      <w:rPr>
        <w:rStyle w:val="18"/>
        <w:rFonts w:ascii="宋体" w:hAnsi="宋体"/>
        <w:szCs w:val="18"/>
      </w:rPr>
      <w:t>- 13 -</w:t>
    </w:r>
    <w:r>
      <w:rPr>
        <w:rFonts w:ascii="宋体" w:hAnsi="宋体"/>
        <w:szCs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8F750">
    <w:pPr>
      <w:pStyle w:val="9"/>
      <w:jc w:val="center"/>
      <w:rPr>
        <w:rFonts w:hint="eastAsia" w:ascii="宋体" w:hAnsi="宋体"/>
        <w:sz w:val="21"/>
        <w:szCs w:val="21"/>
      </w:rPr>
    </w:pPr>
    <w:r>
      <w:rPr>
        <w:sz w:val="21"/>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E20C985">
                          <w:pPr>
                            <w:pStyle w:val="9"/>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xhWyFcMBAACHAwAADgAAAAAAAAABACAAAAAfAQAAZHJzL2Uyb0RvYy54bWxQ&#10;SwUGAAAAAAYABgBZAQAAVAUAAAAA&#10;">
              <v:fill on="f" focussize="0,0"/>
              <v:stroke on="f"/>
              <v:imagedata o:title=""/>
              <o:lock v:ext="edit" aspectratio="f"/>
              <v:textbox inset="0mm,0mm,0mm,0mm" style="mso-fit-shape-to-text:t;">
                <w:txbxContent>
                  <w:p w14:paraId="0E20C985">
                    <w:pPr>
                      <w:pStyle w:val="9"/>
                    </w:pPr>
                    <w:r>
                      <w:fldChar w:fldCharType="begin"/>
                    </w:r>
                    <w:r>
                      <w:instrText xml:space="preserve"> PAGE  \* MERGEFORMAT </w:instrText>
                    </w:r>
                    <w:r>
                      <w:fldChar w:fldCharType="separate"/>
                    </w:r>
                    <w:r>
                      <w:t>32</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688C4">
    <w:pPr>
      <w:pStyle w:val="10"/>
      <w:pBdr>
        <w:bottom w:val="none" w:color="auto" w:sz="0" w:space="1"/>
      </w:pBdr>
      <w:jc w:val="both"/>
      <w:rPr>
        <w:rFonts w:hint="eastAsia" w:ascii="微软雅黑" w:hAnsi="微软雅黑" w:eastAsia="微软雅黑" w:cs="微软雅黑"/>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90AD3">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977C4">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0761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6447">
    <w:pPr>
      <w:pStyle w:val="10"/>
      <w:pBdr>
        <w:bottom w:val="none" w:color="auto" w:sz="0" w:space="1"/>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29C5B">
    <w:pPr>
      <w:pStyle w:val="10"/>
      <w:pBdr>
        <w:bottom w:val="none" w:color="auto" w:sz="0" w:space="1"/>
      </w:pBdr>
      <w:tabs>
        <w:tab w:val="clear" w:pos="8306"/>
      </w:tabs>
      <w:ind w:right="-126" w:rightChars="-45"/>
      <w:jc w:val="left"/>
      <w:rPr>
        <w:rFonts w:ascii="方正仿宋_GBK" w:eastAsia="方正仿宋_GBK"/>
        <w:sz w:val="21"/>
        <w:szCs w:val="21"/>
      </w:rPr>
    </w:pPr>
    <w:r>
      <w:rPr>
        <w:rFonts w:hint="eastAsia" w:ascii="微软雅黑" w:hAnsi="微软雅黑" w:eastAsia="微软雅黑" w:cs="微软雅黑"/>
        <w:sz w:val="21"/>
        <w:szCs w:val="21"/>
      </w:rPr>
      <w:t xml:space="preserve">   </w:t>
    </w:r>
    <w:r>
      <w:rPr>
        <w:rFonts w:hint="eastAsia" w:ascii="方正仿宋_GBK" w:eastAsia="方正仿宋_GBK"/>
        <w:sz w:val="21"/>
        <w:szCs w:val="21"/>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6C927">
    <w:pPr>
      <w:pStyle w:val="10"/>
      <w:jc w:val="both"/>
      <w:rPr>
        <w:rFonts w:hint="eastAsia" w:ascii="宋体" w:hAnsi="宋体" w:cs="宋体"/>
        <w:sz w:val="21"/>
        <w:szCs w:val="21"/>
      </w:rPr>
    </w:pPr>
    <w:r>
      <w:rPr>
        <w:rFonts w:ascii="宋体" w:hAnsi="宋体" w:cs="宋体"/>
        <w:sz w:val="24"/>
        <w:szCs w:val="24"/>
      </w:rPr>
      <w:t xml:space="preserve"> </w:t>
    </w:r>
    <w:r>
      <w:rPr>
        <w:rFonts w:hint="eastAsia" w:ascii="宋体" w:hAnsi="宋体" w:cs="宋体"/>
        <w:sz w:val="24"/>
        <w:szCs w:val="24"/>
        <w:lang w:val="en-US" w:eastAsia="zh-CN"/>
      </w:rPr>
      <w:t>重庆市两江新区人民医院</w:t>
    </w:r>
    <w:r>
      <w:rPr>
        <w:rFonts w:ascii="宋体" w:hAnsi="宋体" w:cs="宋体"/>
        <w:sz w:val="24"/>
        <w:szCs w:val="24"/>
      </w:rPr>
      <w:t xml:space="preserve">                                      </w:t>
    </w:r>
    <w:r>
      <w:rPr>
        <w:rFonts w:hint="eastAsia" w:ascii="宋体" w:hAnsi="宋体" w:cs="宋体"/>
        <w:sz w:val="24"/>
        <w:szCs w:val="24"/>
        <w:lang w:val="en-US" w:eastAsia="zh-CN"/>
      </w:rPr>
      <w:t xml:space="preserve">         </w:t>
    </w:r>
    <w:r>
      <w:rPr>
        <w:rFonts w:ascii="宋体" w:hAnsi="宋体" w:cs="宋体"/>
        <w:sz w:val="24"/>
        <w:szCs w:val="24"/>
      </w:rPr>
      <w:t xml:space="preserve"> </w:t>
    </w:r>
    <w:r>
      <w:rPr>
        <w:rFonts w:hint="eastAsia" w:ascii="宋体" w:hAnsi="宋体" w:cs="宋体"/>
        <w:sz w:val="24"/>
        <w:szCs w:val="24"/>
        <w:lang w:val="en-US" w:eastAsia="zh-CN"/>
      </w:rPr>
      <w:t>询价文件</w:t>
    </w:r>
    <w:r>
      <w:rPr>
        <w:rFonts w:ascii="宋体" w:hAnsi="宋体" w:cs="宋体"/>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5"/>
      <w:numFmt w:val="chineseCounting"/>
      <w:suff w:val="space"/>
      <w:lvlText w:val="第%1篇"/>
      <w:lvlJc w:val="left"/>
      <w:rPr>
        <w:rFonts w:hint="eastAsia"/>
      </w:rPr>
    </w:lvl>
  </w:abstractNum>
  <w:abstractNum w:abstractNumId="1">
    <w:nsid w:val="00000002"/>
    <w:multiLevelType w:val="singleLevel"/>
    <w:tmpl w:val="00000002"/>
    <w:lvl w:ilvl="0" w:tentative="0">
      <w:start w:val="2"/>
      <w:numFmt w:val="chineseCounting"/>
      <w:suff w:val="nothing"/>
      <w:lvlText w:val="（%1）"/>
      <w:lvlJc w:val="left"/>
      <w:rPr>
        <w:rFonts w:hint="eastAsia"/>
      </w:rPr>
    </w:lvl>
  </w:abstractNum>
  <w:abstractNum w:abstractNumId="2">
    <w:nsid w:val="00000003"/>
    <w:multiLevelType w:val="singleLevel"/>
    <w:tmpl w:val="00000003"/>
    <w:lvl w:ilvl="0" w:tentative="0">
      <w:start w:val="2"/>
      <w:numFmt w:val="chineseCounting"/>
      <w:suff w:val="space"/>
      <w:lvlText w:val="第%1篇"/>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00000000"/>
    <w:rsid w:val="02120D7A"/>
    <w:rsid w:val="065B698E"/>
    <w:rsid w:val="0C983DCA"/>
    <w:rsid w:val="174F5B95"/>
    <w:rsid w:val="1D5D2876"/>
    <w:rsid w:val="273F7641"/>
    <w:rsid w:val="36103F35"/>
    <w:rsid w:val="364E2639"/>
    <w:rsid w:val="627F4CC5"/>
    <w:rsid w:val="77EB1C3E"/>
    <w:rsid w:val="7EC15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8"/>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sz w:val="32"/>
    </w:rPr>
  </w:style>
  <w:style w:type="paragraph" w:styleId="3">
    <w:name w:val="heading 3"/>
    <w:basedOn w:val="1"/>
    <w:next w:val="1"/>
    <w:qFormat/>
    <w:uiPriority w:val="0"/>
    <w:pPr>
      <w:keepNext/>
      <w:keepLines/>
      <w:spacing w:line="413" w:lineRule="auto"/>
      <w:outlineLvl w:val="2"/>
    </w:pPr>
    <w:rPr>
      <w:b/>
      <w:sz w:val="32"/>
    </w:rPr>
  </w:style>
  <w:style w:type="character" w:default="1" w:styleId="17">
    <w:name w:val="Default Paragraph Font"/>
    <w:qFormat/>
    <w:uiPriority w:val="1"/>
  </w:style>
  <w:style w:type="table" w:default="1" w:styleId="15">
    <w:name w:val="Normal Table"/>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rPr>
      <w:rFonts w:ascii="仿宋_GB2312" w:eastAsia="仿宋_GB2312"/>
      <w:sz w:val="32"/>
    </w:rPr>
  </w:style>
  <w:style w:type="paragraph" w:customStyle="1" w:styleId="6">
    <w:name w:val="Default"/>
    <w:next w:val="1"/>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7">
    <w:name w:val="toc 3"/>
    <w:basedOn w:val="1"/>
    <w:next w:val="1"/>
    <w:qFormat/>
    <w:uiPriority w:val="39"/>
    <w:pPr>
      <w:ind w:left="840" w:leftChars="400"/>
    </w:pPr>
  </w:style>
  <w:style w:type="paragraph" w:styleId="8">
    <w:name w:val="Plain Text"/>
    <w:basedOn w:val="1"/>
    <w:qFormat/>
    <w:uiPriority w:val="0"/>
    <w:rPr>
      <w:rFonts w:ascii="宋体" w:hAnsi="Courier New"/>
      <w:sz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rPr>
  </w:style>
  <w:style w:type="paragraph" w:styleId="11">
    <w:name w:val="toc 1"/>
    <w:basedOn w:val="1"/>
    <w:next w:val="1"/>
    <w:qFormat/>
    <w:uiPriority w:val="0"/>
    <w:pPr>
      <w:spacing w:line="180" w:lineRule="auto"/>
      <w:jc w:val="center"/>
    </w:pPr>
    <w:rPr>
      <w:sz w:val="30"/>
    </w:rPr>
  </w:style>
  <w:style w:type="paragraph" w:styleId="12">
    <w:name w:val="index 7"/>
    <w:basedOn w:val="1"/>
    <w:next w:val="1"/>
    <w:qFormat/>
    <w:uiPriority w:val="0"/>
    <w:pPr>
      <w:ind w:left="2520"/>
    </w:pPr>
  </w:style>
  <w:style w:type="paragraph" w:styleId="13">
    <w:name w:val="toc 2"/>
    <w:basedOn w:val="1"/>
    <w:next w:val="1"/>
    <w:qFormat/>
    <w:uiPriority w:val="39"/>
    <w:pPr>
      <w:ind w:left="420" w:leftChars="200"/>
    </w:pPr>
  </w:style>
  <w:style w:type="paragraph" w:styleId="1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sz w:val="24"/>
      <w:szCs w:val="24"/>
    </w:rPr>
  </w:style>
  <w:style w:type="table" w:styleId="16">
    <w:name w:val="Table Grid"/>
    <w:basedOn w:val="15"/>
    <w:qFormat/>
    <w:uiPriority w:val="0"/>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qFormat/>
    <w:uiPriority w:val="0"/>
  </w:style>
  <w:style w:type="character" w:styleId="19">
    <w:name w:val="Hyperlink"/>
    <w:basedOn w:val="17"/>
    <w:qFormat/>
    <w:uiPriority w:val="0"/>
    <w:rPr>
      <w:color w:val="0000FF"/>
      <w:u w:val="single"/>
    </w:rPr>
  </w:style>
  <w:style w:type="paragraph" w:customStyle="1" w:styleId="20">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21">
    <w:name w:val="1"/>
    <w:basedOn w:val="1"/>
    <w:next w:val="8"/>
    <w:qFormat/>
    <w:uiPriority w:val="0"/>
    <w:rPr>
      <w:rFonts w:ascii="宋体" w:hAnsi="Courier New"/>
      <w:sz w:val="21"/>
    </w:rPr>
  </w:style>
  <w:style w:type="paragraph" w:customStyle="1" w:styleId="22">
    <w:name w:val="附件"/>
    <w:next w:val="1"/>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 w:type="table" w:customStyle="1" w:styleId="23">
    <w:name w:val="Table Normal"/>
    <w:qFormat/>
    <w:uiPriority w:val="0"/>
    <w:tblPr>
      <w:tblCellMar>
        <w:top w:w="0" w:type="dxa"/>
        <w:left w:w="0" w:type="dxa"/>
        <w:bottom w:w="0" w:type="dxa"/>
        <w:right w:w="0" w:type="dxa"/>
      </w:tblCellMar>
    </w:tbl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12463</Words>
  <Characters>12902</Characters>
  <Paragraphs>1055</Paragraphs>
  <TotalTime>12</TotalTime>
  <ScaleCrop>false</ScaleCrop>
  <LinksUpToDate>false</LinksUpToDate>
  <CharactersWithSpaces>13021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2025-05-21T00:28:00Z</dcterms:created>
  <dc:creator>WPS_1717571575</dc:creator>
  <cp:lastModifiedBy>WL</cp:lastModifiedBy>
  <cp:lastPrinted>2025-06-05T08:52:00Z</cp:lastPrinted>
  <dcterms:modified xsi:type="dcterms:W3CDTF">2026-07-31T00:43:36Z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940CC40E55EE4F58990E070FB152B9EA_13</vt:lpwstr>
  </property>
  <property fmtid="{D5CDD505-2E9C-101B-9397-08002B2CF9AE}" pid="4" name="KSOTemplateDocerSaveRecord">
    <vt:lpwstr>eyJoZGlkIjoiOWFhMjBmZjM3MTBiYWQzOWQ4MjJjMTBjY2VhOGNmNDAiLCJ1c2VySWQiOiIxNjA1MTM1NDc4In0=</vt:lpwstr>
  </property>
</Properties>
</file>