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DA27F">
      <w:pPr>
        <w:spacing w:before="200" w:after="300" w:line="400" w:lineRule="auto"/>
        <w:jc w:val="center"/>
      </w:pPr>
      <w:r>
        <w:rPr>
          <w:rFonts w:hint="eastAsia" w:cs="Times New Roman"/>
          <w:b/>
          <w:bCs/>
          <w:sz w:val="36"/>
          <w:szCs w:val="36"/>
          <w:lang w:val="en-US" w:eastAsia="zh-CN"/>
        </w:rPr>
        <w:t>重庆市两江新区人民医院运维安全审计系统(堡垒机)及专线防火墙采购</w:t>
      </w:r>
      <w:r>
        <w:rPr>
          <w:rFonts w:ascii="Times New Roman" w:hAnsi="Times New Roman" w:eastAsia="宋体" w:cs="Times New Roman"/>
          <w:b/>
          <w:bCs/>
          <w:sz w:val="36"/>
          <w:szCs w:val="36"/>
        </w:rPr>
        <w:t>需求调研公告</w:t>
      </w:r>
    </w:p>
    <w:p w14:paraId="1096B0F1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为深入贯彻落实《中华人民共和国网络安全法》《中华人民共和国数据安全法》及网络安全等级保护制度相关要求，切实履行关键信息基础设施安全保护义务，我院部分内网安全设备已超期服役，性能及防护能力难以满足当前业务发展和合规要求。为进一步提升网络安全整体防护水平，推进内网老旧安全设备更新换代，现面向社会公开开展运维安全审计系统（堡垒机）及专网防火墙采购需求市场调研，欢迎具备合格资质、行业领先技术能力和成熟项目实施经验的供应商积极参与。</w:t>
      </w:r>
    </w:p>
    <w:p w14:paraId="0650689F">
      <w:pPr>
        <w:spacing w:before="240" w:after="120" w:line="360" w:lineRule="auto"/>
      </w:pPr>
      <w:r>
        <w:rPr>
          <w:rFonts w:ascii="Times New Roman" w:hAnsi="Times New Roman" w:eastAsia="黑体" w:cs="Times New Roman"/>
          <w:b/>
          <w:bCs/>
          <w:color w:val="000000"/>
          <w:sz w:val="30"/>
          <w:szCs w:val="30"/>
        </w:rPr>
        <w:t>一、调研目标</w:t>
      </w:r>
    </w:p>
    <w:p w14:paraId="6671244B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通过本次调研，全面了解市场主流堡垒机和专网防火墙产品的技术路线、国产化适配、高可用方案、售后服务及价格水平，为后续项目立项和采购提供决策依据。</w:t>
      </w:r>
    </w:p>
    <w:p w14:paraId="6984ECF4">
      <w:pPr>
        <w:spacing w:before="240" w:after="120" w:line="360" w:lineRule="auto"/>
      </w:pPr>
      <w:r>
        <w:rPr>
          <w:rFonts w:ascii="Times New Roman" w:hAnsi="Times New Roman" w:eastAsia="黑体" w:cs="Times New Roman"/>
          <w:b/>
          <w:bCs/>
          <w:color w:val="000000"/>
          <w:sz w:val="30"/>
          <w:szCs w:val="30"/>
        </w:rPr>
        <w:t>二、技术参数要求</w:t>
      </w:r>
    </w:p>
    <w:p w14:paraId="3C2006D7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本次调研涉及两类设备，具体技术参数如下：</w:t>
      </w:r>
    </w:p>
    <w:tbl>
      <w:tblPr>
        <w:tblStyle w:val="14"/>
        <w:tblW w:w="902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7226"/>
      </w:tblGrid>
      <w:tr w14:paraId="5A14E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FD542DD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设备名称</w:t>
            </w:r>
          </w:p>
        </w:tc>
        <w:tc>
          <w:tcPr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40F014AA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技术参数要求</w:t>
            </w:r>
          </w:p>
        </w:tc>
      </w:tr>
      <w:tr w14:paraId="54B27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89030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运维安全审计系统
（堡垒机）</w:t>
            </w:r>
          </w:p>
        </w:tc>
        <w:tc>
          <w:tcPr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DB9BF">
            <w:pPr>
              <w:spacing w:after="40"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1、标准机架式设备，采用国产化CPU及国产化服务器操作系统（如统信UOS、银河麒麟等），1+1冗余电源，≥16GB内存；配置国密硬件加密卡，具有商用密码产品认证证书。</w:t>
            </w:r>
          </w:p>
        </w:tc>
      </w:tr>
      <w:tr w14:paraId="60654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999DD2"/>
        </w:tc>
        <w:tc>
          <w:tcPr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6E2A1">
            <w:pPr>
              <w:spacing w:after="40"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2、配置≥500个资产授权，字符并发连接≥500，图形并发连接≥100。</w:t>
            </w:r>
          </w:p>
        </w:tc>
      </w:tr>
      <w:tr w14:paraId="13BD6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3C5CA"/>
        </w:tc>
        <w:tc>
          <w:tcPr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62007">
            <w:pPr>
              <w:spacing w:after="40"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3、支持国密身份认证及双因子认证，账号密码采用国密算法加密存储。</w:t>
            </w:r>
          </w:p>
        </w:tc>
      </w:tr>
      <w:tr w14:paraId="4CEA4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6A23A6"/>
        </w:tc>
        <w:tc>
          <w:tcPr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1EAF3">
            <w:pPr>
              <w:spacing w:after="40"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4、支持与院内现有VPN系统联动，实现VPN认证通过后自动单点登录堡垒机，无需二次输入账号密码。供应商须在方案中说明对接方式及兼容性。</w:t>
            </w:r>
          </w:p>
        </w:tc>
      </w:tr>
      <w:tr w14:paraId="6741E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E311E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专网防火墙
（含HA及交换机）</w:t>
            </w:r>
          </w:p>
        </w:tc>
        <w:tc>
          <w:tcPr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F0619">
            <w:pPr>
              <w:spacing w:after="40"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1、</w:t>
            </w:r>
            <w:r>
              <w:rPr>
                <w:rFonts w:hint="eastAsia" w:cs="Times New Roman"/>
                <w:b w:val="0"/>
                <w:bCs w:val="0"/>
                <w:sz w:val="22"/>
                <w:szCs w:val="22"/>
                <w:lang w:val="en-US" w:eastAsia="zh-CN"/>
              </w:rPr>
              <w:t>标准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机架式设备，采用国产化CPU及国产化操作系统，具有自主知识产权，双交流冗余电源；配置≥</w:t>
            </w:r>
            <w:r>
              <w:rPr>
                <w:rFonts w:hint="eastAsia" w:cs="Times New Roman"/>
                <w:b w:val="0"/>
                <w:bCs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年病毒库及IPS特征库升级服务。</w:t>
            </w:r>
          </w:p>
        </w:tc>
      </w:tr>
      <w:tr w14:paraId="0224F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D5938"/>
        </w:tc>
        <w:tc>
          <w:tcPr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30A3D">
            <w:pPr>
              <w:spacing w:after="40"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2、网络层吞吐量≥8Gbps，并发连接数≥390万，新建连接数≥9万；千兆电口≥16个、千兆光口≥8个、扩展槽≥2个。</w:t>
            </w:r>
          </w:p>
        </w:tc>
      </w:tr>
      <w:tr w14:paraId="4844F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F16DB"/>
        </w:tc>
        <w:tc>
          <w:tcPr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D0EC4">
            <w:pPr>
              <w:spacing w:after="40"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3、支持双机热备（HA）主备切换，随设备附带2台千兆堆叠交换机；区卫生专线、市卫生专线、医保线路及其他院区接入专线（含老院区内网、礼嘉院区内网、婚检处内网、区委医务处等）所有链路均须纳入HA保护，主备故障切换无缝衔接、业务不中断。供应商须在方案中提供HA组网拓扑及切换机制说明。</w:t>
            </w:r>
          </w:p>
        </w:tc>
      </w:tr>
      <w:tr w14:paraId="2FDC9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3E198"/>
        </w:tc>
        <w:tc>
          <w:tcPr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42C41">
            <w:pPr>
              <w:spacing w:after="40"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4、支持细粒度访问控制、入侵防御（IPS）、病毒过滤、策略冗余分析及配置回滚；特征库升级不影响业务转发，CPU高负载时可自动降级部分应用层防护以保障连通性。</w:t>
            </w:r>
          </w:p>
        </w:tc>
      </w:tr>
    </w:tbl>
    <w:p w14:paraId="2215B254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注：以上参数为基本要求，供应商可结合自身产品优势补充特色功能。所提供参数须真实可验证，不得虚标。</w:t>
      </w:r>
    </w:p>
    <w:p w14:paraId="70D94018">
      <w:pPr>
        <w:spacing w:before="240" w:after="120" w:line="360" w:lineRule="auto"/>
      </w:pPr>
      <w:r>
        <w:rPr>
          <w:rFonts w:ascii="Times New Roman" w:hAnsi="Times New Roman" w:eastAsia="黑体" w:cs="Times New Roman"/>
          <w:b/>
          <w:bCs/>
          <w:color w:val="000000"/>
          <w:sz w:val="30"/>
          <w:szCs w:val="30"/>
        </w:rPr>
        <w:t>三、商务及服务要求</w:t>
      </w:r>
    </w:p>
    <w:p w14:paraId="40AA8B1B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1.交货期：合同签订后10个自然日内完成到货、部署及上线。</w:t>
      </w:r>
    </w:p>
    <w:p w14:paraId="5D005B0D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2.质保期：不少于6年原厂免费质保，7×24小时技术支持。</w:t>
      </w:r>
    </w:p>
    <w:p w14:paraId="45159E37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3.响应时间：故障通知后4小时内到达现场，48小时内无法修复须提供备用设备。</w:t>
      </w:r>
    </w:p>
    <w:p w14:paraId="5C063168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4.安装培训：供应商负责安装、配置、联调及不少于2次现场培训。</w:t>
      </w:r>
    </w:p>
    <w:p w14:paraId="66D98FF8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5.付款方式：验收合格后15个工作日内支付全款。</w:t>
      </w:r>
    </w:p>
    <w:p w14:paraId="5F9B1327">
      <w:pPr>
        <w:spacing w:before="240" w:after="120" w:line="360" w:lineRule="auto"/>
      </w:pPr>
      <w:r>
        <w:rPr>
          <w:rFonts w:ascii="Times New Roman" w:hAnsi="Times New Roman" w:eastAsia="黑体" w:cs="Times New Roman"/>
          <w:b/>
          <w:bCs/>
          <w:color w:val="000000"/>
          <w:sz w:val="30"/>
          <w:szCs w:val="30"/>
        </w:rPr>
        <w:t>四、供应商要求</w:t>
      </w:r>
    </w:p>
    <w:p w14:paraId="7A73A791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（一）符合《政府采购法》第二十二条规定，具备独立法人资格，近三年无重大违法记录，不接受联合体报名。</w:t>
      </w:r>
    </w:p>
    <w:p w14:paraId="5FFB4A7D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（二）投标产品须具备公安部计算机信息系统安全专用产品销售许可证；堡垒机须具备商用密码产品认证证书。</w:t>
      </w:r>
    </w:p>
    <w:p w14:paraId="142D69F5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（</w:t>
      </w:r>
      <w:r>
        <w:rPr>
          <w:rFonts w:hint="eastAsia" w:cs="Times New Roman"/>
          <w:sz w:val="24"/>
          <w:szCs w:val="24"/>
          <w:lang w:val="en-US" w:eastAsia="zh-CN"/>
        </w:rPr>
        <w:t>三</w:t>
      </w:r>
      <w:r>
        <w:rPr>
          <w:rFonts w:ascii="Times New Roman" w:hAnsi="Times New Roman" w:eastAsia="宋体" w:cs="Times New Roman"/>
          <w:sz w:val="24"/>
          <w:szCs w:val="24"/>
        </w:rPr>
        <w:t>）拥有重庆本地常驻服务团队，可提供7×24小时技术响应及长期运维保障。</w:t>
      </w:r>
    </w:p>
    <w:p w14:paraId="78CC66F6">
      <w:pPr>
        <w:spacing w:before="240" w:after="120" w:line="360" w:lineRule="auto"/>
      </w:pPr>
      <w:r>
        <w:rPr>
          <w:rFonts w:ascii="Times New Roman" w:hAnsi="Times New Roman" w:eastAsia="黑体" w:cs="Times New Roman"/>
          <w:b/>
          <w:bCs/>
          <w:color w:val="000000"/>
          <w:sz w:val="30"/>
          <w:szCs w:val="30"/>
        </w:rPr>
        <w:t>五、参与方式</w:t>
      </w:r>
    </w:p>
    <w:p w14:paraId="7CD5AEE6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（一）提交材料：技术方案（含参数应答表、HA组网拓扑、国产化说明、报价明</w:t>
      </w:r>
      <w:bookmarkStart w:id="0" w:name="_GoBack"/>
      <w:bookmarkEnd w:id="0"/>
      <w:r>
        <w:rPr>
          <w:rFonts w:ascii="Times New Roman" w:hAnsi="Times New Roman" w:eastAsia="宋体" w:cs="Times New Roman"/>
          <w:sz w:val="24"/>
          <w:szCs w:val="24"/>
        </w:rPr>
        <w:t>细</w:t>
      </w:r>
      <w:r>
        <w:rPr>
          <w:rFonts w:hint="eastAsia" w:cs="Times New Roman"/>
          <w:sz w:val="24"/>
          <w:szCs w:val="24"/>
          <w:lang w:eastAsia="zh-CN"/>
        </w:rPr>
        <w:t>、</w:t>
      </w:r>
      <w:r>
        <w:rPr>
          <w:rFonts w:hint="eastAsia" w:cs="Times New Roman"/>
          <w:sz w:val="24"/>
          <w:szCs w:val="24"/>
          <w:lang w:val="en-US" w:eastAsia="zh-CN"/>
        </w:rPr>
        <w:t>切割方案</w:t>
      </w:r>
      <w:r>
        <w:rPr>
          <w:rFonts w:ascii="Times New Roman" w:hAnsi="Times New Roman" w:eastAsia="宋体" w:cs="Times New Roman"/>
          <w:sz w:val="24"/>
          <w:szCs w:val="24"/>
        </w:rPr>
        <w:t>）、资质文件、售后服务方案。</w:t>
      </w:r>
    </w:p>
    <w:p w14:paraId="711ECFCF">
      <w:pPr>
        <w:spacing w:after="60" w:line="360" w:lineRule="auto"/>
        <w:ind w:firstLine="480"/>
        <w:jc w:val="both"/>
      </w:pPr>
      <w:r>
        <w:rPr>
          <w:rFonts w:ascii="Times New Roman" w:hAnsi="Times New Roman" w:eastAsia="宋体" w:cs="Times New Roman"/>
          <w:sz w:val="24"/>
          <w:szCs w:val="24"/>
        </w:rPr>
        <w:t>（二）提交时间：即日起至</w:t>
      </w:r>
      <w:r>
        <w:rPr>
          <w:rFonts w:hint="eastAsia" w:cs="Times New Roman"/>
          <w:sz w:val="24"/>
          <w:szCs w:val="24"/>
          <w:lang w:val="en-US" w:eastAsia="zh-CN"/>
        </w:rPr>
        <w:t>2026</w:t>
      </w:r>
      <w:r>
        <w:rPr>
          <w:rFonts w:ascii="Times New Roman" w:hAnsi="Times New Roman" w:eastAsia="宋体" w:cs="Times New Roman"/>
          <w:sz w:val="24"/>
          <w:szCs w:val="24"/>
        </w:rPr>
        <w:t>年</w:t>
      </w:r>
      <w:r>
        <w:rPr>
          <w:rFonts w:hint="eastAsia" w:cs="Times New Roman"/>
          <w:sz w:val="24"/>
          <w:szCs w:val="24"/>
          <w:lang w:val="en-US" w:eastAsia="zh-CN"/>
        </w:rPr>
        <w:t>08</w:t>
      </w:r>
      <w:r>
        <w:rPr>
          <w:rFonts w:ascii="Times New Roman" w:hAnsi="Times New Roman" w:eastAsia="宋体" w:cs="Times New Roman"/>
          <w:sz w:val="24"/>
          <w:szCs w:val="24"/>
        </w:rPr>
        <w:t>月</w:t>
      </w:r>
      <w:r>
        <w:rPr>
          <w:rFonts w:hint="eastAsia" w:cs="Times New Roman"/>
          <w:sz w:val="24"/>
          <w:szCs w:val="24"/>
          <w:lang w:val="en-US" w:eastAsia="zh-CN"/>
        </w:rPr>
        <w:t>31</w:t>
      </w:r>
      <w:r>
        <w:rPr>
          <w:rFonts w:ascii="Times New Roman" w:hAnsi="Times New Roman" w:eastAsia="宋体" w:cs="Times New Roman"/>
          <w:sz w:val="24"/>
          <w:szCs w:val="24"/>
        </w:rPr>
        <w:t>日。</w:t>
      </w:r>
    </w:p>
    <w:p w14:paraId="459BC87A">
      <w:pPr>
        <w:spacing w:after="60" w:line="360" w:lineRule="auto"/>
        <w:ind w:firstLine="48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（三）提交方式：电子版发送至[</w:t>
      </w:r>
      <w:r>
        <w:rPr>
          <w:rFonts w:hint="eastAsia" w:cs="Times New Roman"/>
          <w:sz w:val="24"/>
          <w:szCs w:val="24"/>
          <w:lang w:val="en-US" w:eastAsia="zh-CN"/>
        </w:rPr>
        <w:t>75776135@qq.com</w:t>
      </w:r>
      <w:r>
        <w:rPr>
          <w:rFonts w:ascii="Times New Roman" w:hAnsi="Times New Roman" w:eastAsia="宋体" w:cs="Times New Roman"/>
          <w:sz w:val="24"/>
          <w:szCs w:val="24"/>
        </w:rPr>
        <w:t>]，邮件主题格式"</w:t>
      </w:r>
      <w:r>
        <w:rPr>
          <w:rFonts w:hint="eastAsia" w:ascii="Times New Roman" w:hAnsi="Times New Roman" w:eastAsia="宋体" w:cs="Times New Roman"/>
          <w:sz w:val="24"/>
          <w:szCs w:val="24"/>
        </w:rPr>
        <w:t>运维安全审计系统及专线防火墙采购需求调研</w:t>
      </w:r>
      <w:r>
        <w:rPr>
          <w:rFonts w:ascii="Times New Roman" w:hAnsi="Times New Roman" w:eastAsia="宋体" w:cs="Times New Roman"/>
          <w:sz w:val="24"/>
          <w:szCs w:val="24"/>
        </w:rPr>
        <w:t>+企业名称+产品名称"</w:t>
      </w:r>
      <w:r>
        <w:rPr>
          <w:rFonts w:hint="eastAsia" w:cs="Times New Roman"/>
          <w:sz w:val="24"/>
          <w:szCs w:val="24"/>
          <w:lang w:eastAsia="zh-CN"/>
        </w:rPr>
        <w:t>，</w:t>
      </w:r>
      <w:r>
        <w:rPr>
          <w:rFonts w:hint="eastAsia" w:cs="Times New Roman"/>
          <w:sz w:val="24"/>
          <w:szCs w:val="24"/>
          <w:lang w:val="en-US" w:eastAsia="zh-CN"/>
        </w:rPr>
        <w:t>正文注明联系人</w:t>
      </w:r>
      <w:r>
        <w:rPr>
          <w:rFonts w:ascii="Times New Roman" w:hAnsi="Times New Roman" w:eastAsia="宋体" w:cs="Times New Roman"/>
          <w:sz w:val="24"/>
          <w:szCs w:val="24"/>
        </w:rPr>
        <w:t>；</w:t>
      </w:r>
    </w:p>
    <w:p w14:paraId="164A3C6D">
      <w:pPr>
        <w:spacing w:after="60" w:line="360" w:lineRule="auto"/>
        <w:ind w:firstLine="48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现场交流演示‌：通过筛选供应商需参与现场交流演示（具体时间另行通知）。</w:t>
      </w:r>
    </w:p>
    <w:p w14:paraId="690EFC01">
      <w:pPr>
        <w:spacing w:before="240" w:after="120" w:line="360" w:lineRule="auto"/>
      </w:pPr>
      <w:r>
        <w:rPr>
          <w:rFonts w:ascii="Times New Roman" w:hAnsi="Times New Roman" w:eastAsia="黑体" w:cs="Times New Roman"/>
          <w:b/>
          <w:bCs/>
          <w:color w:val="000000"/>
          <w:sz w:val="30"/>
          <w:szCs w:val="30"/>
        </w:rPr>
        <w:t>六、其他说明</w:t>
      </w:r>
    </w:p>
    <w:p w14:paraId="500B8082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（一）‌信息公示与审核‌</w:t>
      </w:r>
    </w:p>
    <w:p w14:paraId="3923CBA7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本公告通过医院官网发布，提交材料经查证不符者取消资格。</w:t>
      </w:r>
    </w:p>
    <w:p w14:paraId="3FBC963F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（二）‌调研流程‌</w:t>
      </w:r>
    </w:p>
    <w:p w14:paraId="1B23350A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通过筛选的供应商将受邀参加现场调研会（需准备演示平台），未受邀企业恕不另行通知。</w:t>
      </w:r>
    </w:p>
    <w:p w14:paraId="653DF5C5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（三）‌权益声明‌</w:t>
      </w:r>
    </w:p>
    <w:p w14:paraId="01BD3527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本次调研成果归院方所有，征集的技术指标可能用于后续招标文件编制，不涉及知识产权争议。</w:t>
      </w:r>
    </w:p>
    <w:p w14:paraId="7D48C9BB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（四）‌风险提示‌</w:t>
      </w:r>
    </w:p>
    <w:p w14:paraId="6862F831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本次调研不构成采购承诺，供应商需自行承担参评费用，院方不支付任何成本，同时已成功报名的供应商，不代表通过资格、符合性审查。</w:t>
      </w:r>
    </w:p>
    <w:p w14:paraId="52DCB6EF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（五）‌违规处理‌</w:t>
      </w:r>
    </w:p>
    <w:p w14:paraId="5E0CBA57">
      <w:pPr>
        <w:spacing w:after="60" w:line="360" w:lineRule="auto"/>
        <w:ind w:firstLine="480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提供虚假材料企业我院核实后将限制后期与其合作。</w:t>
      </w:r>
    </w:p>
    <w:p w14:paraId="489946F5">
      <w:pPr>
        <w:spacing w:before="240" w:after="120" w:line="360" w:lineRule="auto"/>
      </w:pPr>
      <w:r>
        <w:rPr>
          <w:rFonts w:ascii="Times New Roman" w:hAnsi="Times New Roman" w:eastAsia="黑体" w:cs="Times New Roman"/>
          <w:b/>
          <w:bCs/>
          <w:color w:val="000000"/>
          <w:sz w:val="30"/>
          <w:szCs w:val="30"/>
        </w:rPr>
        <w:t>七、联系方式</w:t>
      </w:r>
    </w:p>
    <w:p w14:paraId="591FFAB5">
      <w:pPr>
        <w:spacing w:after="60" w:line="360" w:lineRule="auto"/>
        <w:ind w:firstLine="48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地址：</w:t>
      </w:r>
      <w:r>
        <w:rPr>
          <w:rFonts w:hint="eastAsia" w:cs="Times New Roman"/>
          <w:sz w:val="24"/>
          <w:szCs w:val="24"/>
          <w:lang w:val="en-US" w:eastAsia="zh-CN"/>
        </w:rPr>
        <w:t>重庆市两江新区人民医院A院区科教楼602信息科（重庆市金开大道2号）</w:t>
      </w:r>
      <w:r>
        <w:rPr>
          <w:rFonts w:ascii="Times New Roman" w:hAnsi="Times New Roman" w:eastAsia="宋体" w:cs="Times New Roman"/>
          <w:sz w:val="24"/>
          <w:szCs w:val="24"/>
        </w:rPr>
        <w:t>　　</w:t>
      </w:r>
    </w:p>
    <w:p w14:paraId="52960B1D">
      <w:pPr>
        <w:spacing w:after="60" w:line="360" w:lineRule="auto"/>
        <w:ind w:firstLine="480"/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>联系人：</w:t>
      </w:r>
      <w:r>
        <w:rPr>
          <w:rFonts w:hint="eastAsia" w:cs="Times New Roman"/>
          <w:sz w:val="24"/>
          <w:szCs w:val="24"/>
          <w:lang w:val="en-US" w:eastAsia="zh-CN"/>
        </w:rPr>
        <w:t>曹老师</w:t>
      </w:r>
      <w:r>
        <w:rPr>
          <w:rFonts w:ascii="Times New Roman" w:hAnsi="Times New Roman" w:eastAsia="宋体" w:cs="Times New Roman"/>
          <w:sz w:val="24"/>
          <w:szCs w:val="24"/>
        </w:rPr>
        <w:t>　电话：</w:t>
      </w:r>
      <w:r>
        <w:rPr>
          <w:rFonts w:hint="eastAsia" w:cs="Times New Roman"/>
          <w:sz w:val="24"/>
          <w:szCs w:val="24"/>
          <w:lang w:val="en-US" w:eastAsia="zh-CN"/>
        </w:rPr>
        <w:t>023-86791788/13983677056</w:t>
      </w:r>
      <w:r>
        <w:rPr>
          <w:rFonts w:ascii="Times New Roman" w:hAnsi="Times New Roman" w:eastAsia="宋体" w:cs="Times New Roman"/>
          <w:sz w:val="24"/>
          <w:szCs w:val="24"/>
        </w:rPr>
        <w:t>　邮箱：</w:t>
      </w:r>
      <w:r>
        <w:rPr>
          <w:rFonts w:hint="eastAsia" w:cs="Times New Roman"/>
          <w:sz w:val="24"/>
          <w:szCs w:val="24"/>
          <w:lang w:val="en-US" w:eastAsia="zh-CN"/>
        </w:rPr>
        <w:t>75776135@qq.com</w:t>
      </w:r>
    </w:p>
    <w:p w14:paraId="688EC501">
      <w:pPr>
        <w:spacing w:before="400"/>
      </w:pPr>
    </w:p>
    <w:p w14:paraId="17D210CC">
      <w:pPr>
        <w:jc w:val="right"/>
      </w:pP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F88C2">
    <w:pPr>
      <w:jc w:val="center"/>
    </w:pPr>
    <w:r>
      <w:rPr>
        <w:rFonts w:ascii="Times New Roman" w:hAnsi="Times New Roman" w:eastAsia="宋体" w:cs="Times New Roman"/>
        <w:color w:val="666666"/>
        <w:sz w:val="18"/>
        <w:szCs w:val="18"/>
      </w:rPr>
      <w:t xml:space="preserve">第 </w:t>
    </w:r>
    <w:r>
      <w:rPr>
        <w:rFonts w:ascii="Times New Roman" w:hAnsi="Times New Roman" w:eastAsia="宋体" w:cs="Times New Roman"/>
        <w:color w:val="666666"/>
        <w:sz w:val="18"/>
        <w:szCs w:val="18"/>
      </w:rPr>
      <w:fldChar w:fldCharType="begin"/>
    </w:r>
    <w:r>
      <w:rPr>
        <w:rFonts w:ascii="Times New Roman" w:hAnsi="Times New Roman" w:eastAsia="宋体" w:cs="Times New Roman"/>
        <w:color w:val="666666"/>
        <w:sz w:val="18"/>
        <w:szCs w:val="18"/>
      </w:rPr>
      <w:instrText xml:space="preserve">PAGE</w:instrText>
    </w:r>
    <w:r>
      <w:rPr>
        <w:rFonts w:ascii="Times New Roman" w:hAnsi="Times New Roman" w:eastAsia="宋体" w:cs="Times New Roman"/>
        <w:color w:val="666666"/>
        <w:sz w:val="18"/>
        <w:szCs w:val="18"/>
      </w:rPr>
      <w:fldChar w:fldCharType="separate"/>
    </w:r>
    <w:r>
      <w:rPr>
        <w:rFonts w:ascii="Times New Roman" w:hAnsi="Times New Roman" w:eastAsia="宋体" w:cs="Times New Roman"/>
        <w:color w:val="666666"/>
        <w:sz w:val="18"/>
        <w:szCs w:val="18"/>
      </w:rPr>
      <w:fldChar w:fldCharType="end"/>
    </w:r>
    <w:r>
      <w:rPr>
        <w:rFonts w:ascii="Times New Roman" w:hAnsi="Times New Roman" w:eastAsia="宋体" w:cs="Times New Roman"/>
        <w:color w:val="666666"/>
        <w:sz w:val="18"/>
        <w:szCs w:val="18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71700FC"/>
    <w:rsid w:val="08C02F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4"/>
      <w:szCs w:val="24"/>
    </w:rPr>
  </w:style>
  <w:style w:type="paragraph" w:styleId="4">
    <w:name w:val="heading 1"/>
    <w:next w:val="1"/>
    <w:qFormat/>
    <w:uiPriority w:val="0"/>
    <w:rPr>
      <w:rFonts w:ascii="Times New Roman" w:hAnsi="Times New Roman" w:eastAsia="宋体" w:cs="Times New Roman"/>
      <w:color w:val="2E74B5"/>
      <w:sz w:val="32"/>
      <w:szCs w:val="32"/>
    </w:rPr>
  </w:style>
  <w:style w:type="paragraph" w:styleId="5">
    <w:name w:val="heading 2"/>
    <w:next w:val="1"/>
    <w:qFormat/>
    <w:uiPriority w:val="0"/>
    <w:rPr>
      <w:rFonts w:ascii="Times New Roman" w:hAnsi="Times New Roman" w:eastAsia="宋体" w:cs="Times New Roman"/>
      <w:color w:val="2E74B5"/>
      <w:sz w:val="26"/>
      <w:szCs w:val="26"/>
    </w:rPr>
  </w:style>
  <w:style w:type="paragraph" w:styleId="6">
    <w:name w:val="heading 3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paragraph" w:styleId="7">
    <w:name w:val="heading 4"/>
    <w:next w:val="1"/>
    <w:qFormat/>
    <w:uiPriority w:val="0"/>
    <w:rPr>
      <w:rFonts w:ascii="Times New Roman" w:hAnsi="Times New Roman" w:eastAsia="宋体" w:cs="Times New Roman"/>
      <w:i/>
      <w:iCs/>
      <w:color w:val="2E74B5"/>
      <w:sz w:val="24"/>
      <w:szCs w:val="24"/>
    </w:rPr>
  </w:style>
  <w:style w:type="paragraph" w:styleId="8">
    <w:name w:val="heading 5"/>
    <w:next w:val="1"/>
    <w:qFormat/>
    <w:uiPriority w:val="0"/>
    <w:rPr>
      <w:rFonts w:ascii="Times New Roman" w:hAnsi="Times New Roman" w:eastAsia="宋体" w:cs="Times New Roman"/>
      <w:color w:val="2E74B5"/>
      <w:sz w:val="24"/>
      <w:szCs w:val="24"/>
    </w:rPr>
  </w:style>
  <w:style w:type="paragraph" w:styleId="9">
    <w:name w:val="heading 6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Quote"/>
    <w:next w:val="1"/>
    <w:qFormat/>
    <w:uiPriority w:val="0"/>
    <w:pPr>
      <w:widowControl w:val="0"/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kern w:val="2"/>
      <w:sz w:val="21"/>
      <w:szCs w:val="24"/>
      <w:lang w:val="en-US" w:eastAsia="zh-CN" w:bidi="ar-SA"/>
    </w:rPr>
  </w:style>
  <w:style w:type="paragraph" w:styleId="10">
    <w:name w:val="end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color w:val="000000"/>
      <w:sz w:val="20"/>
      <w:szCs w:val="20"/>
    </w:rPr>
  </w:style>
  <w:style w:type="paragraph" w:styleId="11">
    <w:name w:val="footnote text"/>
    <w:link w:val="20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color w:val="000000"/>
      <w:sz w:val="20"/>
      <w:szCs w:val="20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Title"/>
    <w:qFormat/>
    <w:uiPriority w:val="0"/>
    <w:rPr>
      <w:rFonts w:ascii="Times New Roman" w:hAnsi="Times New Roman" w:eastAsia="宋体" w:cs="Times New Roman"/>
      <w:color w:val="000000"/>
      <w:sz w:val="56"/>
      <w:szCs w:val="56"/>
    </w:rPr>
  </w:style>
  <w:style w:type="character" w:styleId="16">
    <w:name w:val="endnote reference"/>
    <w:semiHidden/>
    <w:unhideWhenUsed/>
    <w:qFormat/>
    <w:uiPriority w:val="99"/>
    <w:rPr>
      <w:vertAlign w:val="superscript"/>
    </w:rPr>
  </w:style>
  <w:style w:type="character" w:styleId="17">
    <w:name w:val="Hyperlink"/>
    <w:unhideWhenUsed/>
    <w:uiPriority w:val="99"/>
    <w:rPr>
      <w:color w:val="0563C1"/>
      <w:u w:val="single"/>
    </w:rPr>
  </w:style>
  <w:style w:type="character" w:styleId="18">
    <w:name w:val="footnote reference"/>
    <w:semiHidden/>
    <w:unhideWhenUsed/>
    <w:qFormat/>
    <w:uiPriority w:val="99"/>
    <w:rPr>
      <w:vertAlign w:val="superscript"/>
    </w:rPr>
  </w:style>
  <w:style w:type="paragraph" w:styleId="19">
    <w:name w:val="List Paragraph"/>
    <w:qFormat/>
    <w:uiPriority w:val="0"/>
    <w:rPr>
      <w:rFonts w:ascii="Times New Roman" w:hAnsi="Times New Roman" w:eastAsia="宋体" w:cs="Times New Roman"/>
      <w:color w:val="000000"/>
      <w:sz w:val="24"/>
      <w:szCs w:val="24"/>
    </w:rPr>
  </w:style>
  <w:style w:type="character" w:customStyle="1" w:styleId="20">
    <w:name w:val="Footnote Text Char"/>
    <w:link w:val="11"/>
    <w:semiHidden/>
    <w:unhideWhenUsed/>
    <w:qFormat/>
    <w:uiPriority w:val="99"/>
    <w:rPr>
      <w:sz w:val="20"/>
      <w:szCs w:val="20"/>
    </w:rPr>
  </w:style>
  <w:style w:type="character" w:customStyle="1" w:styleId="21">
    <w:name w:val="Endnote Text Char"/>
    <w:link w:val="10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1713</Words>
  <Characters>1837</Characters>
  <TotalTime>0</TotalTime>
  <ScaleCrop>false</ScaleCrop>
  <LinksUpToDate>false</LinksUpToDate>
  <CharactersWithSpaces>1842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2026-08-23T09:09:00Z</dcterms:created>
  <dc:creator>Un-named</dc:creator>
  <cp:lastModifiedBy>C</cp:lastModifiedBy>
  <dcterms:modified xsi:type="dcterms:W3CDTF">2026-08-24T02:02:18Z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4241261491660298_0-data_volume/7657205135554199835-files/所有对话/主对话/采购参考/网络安全设备采购需求调研公告.docx","ReservedCode1":"","ContentPropagator":"001191110102MACQD9K64028705","PropagateID":"4241261491660298#1787476233837","ReservedCode2":""}</vt:lpwstr>
  </property>
  <property fmtid="{D5CDD505-2E9C-101B-9397-08002B2CF9AE}" pid="3" name="KSOTemplateDocerSaveRecord">
    <vt:lpwstr>eyJoZGlkIjoiNjRlZmE0ZWJkNDlhY2ViYjkyYjk0ODczZTlkYjg5OGUiLCJ1c2VySWQiOiI0NTc1MjEyNzAifQ==</vt:lpwstr>
  </property>
  <property fmtid="{D5CDD505-2E9C-101B-9397-08002B2CF9AE}" pid="4" name="KSOProductBuildVer">
    <vt:lpwstr>2052-12.1.0.28043</vt:lpwstr>
  </property>
  <property fmtid="{D5CDD505-2E9C-101B-9397-08002B2CF9AE}" pid="5" name="ICV">
    <vt:lpwstr>3B5E4063E3B24459B3C2C84654C2E204_12</vt:lpwstr>
  </property>
</Properties>
</file>