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ind w:left="0"/>
        <w:jc w:val="center"/>
        <w:rPr>
          <w:rFonts w:ascii="Calibri" w:hAnsi="Calibri" w:eastAsia="宋体" w:cs="Times New Roman"/>
          <w:kern w:val="0"/>
          <w:szCs w:val="22"/>
          <w:lang/>
        </w:rPr>
      </w:pPr>
      <w:bookmarkStart w:id="24" w:name="_GoBack"/>
      <w:r>
        <w:rPr>
          <w:rFonts w:hint="eastAsia" w:ascii="Arial" w:hAnsi="Arial" w:eastAsia="等线" w:cs="Arial"/>
          <w:b/>
          <w:kern w:val="0"/>
          <w:sz w:val="52"/>
          <w:szCs w:val="22"/>
          <w:lang w:val="en-US" w:eastAsia="zh-CN"/>
        </w:rPr>
        <w:t>门急诊</w:t>
      </w:r>
      <w:r>
        <w:rPr>
          <w:rFonts w:ascii="Arial" w:hAnsi="Arial" w:eastAsia="等线" w:cs="Arial"/>
          <w:b/>
          <w:kern w:val="0"/>
          <w:sz w:val="52"/>
          <w:szCs w:val="22"/>
          <w:lang/>
        </w:rPr>
        <w:t>输液系统</w:t>
      </w:r>
      <w:bookmarkEnd w:id="24"/>
      <w:r>
        <w:rPr>
          <w:rFonts w:ascii="Arial" w:hAnsi="Arial" w:eastAsia="等线" w:cs="Arial"/>
          <w:b/>
          <w:kern w:val="0"/>
          <w:sz w:val="52"/>
          <w:szCs w:val="22"/>
          <w:lang/>
        </w:rPr>
        <w:t>技术文档</w:t>
      </w:r>
    </w:p>
    <w:p>
      <w:pPr>
        <w:spacing w:before="380" w:after="140" w:line="288" w:lineRule="auto"/>
        <w:ind w:left="0"/>
        <w:jc w:val="left"/>
        <w:outlineLvl w:val="0"/>
        <w:rPr>
          <w:rFonts w:ascii="Calibri" w:hAnsi="Calibri" w:eastAsia="宋体" w:cs="Times New Roman"/>
          <w:kern w:val="0"/>
          <w:szCs w:val="22"/>
          <w:lang/>
        </w:rPr>
      </w:pPr>
      <w:bookmarkStart w:id="0" w:name="heading_0"/>
      <w:r>
        <w:rPr>
          <w:rFonts w:ascii="Arial" w:hAnsi="Arial" w:eastAsia="等线" w:cs="Arial"/>
          <w:b/>
          <w:kern w:val="0"/>
          <w:sz w:val="36"/>
          <w:szCs w:val="22"/>
          <w:lang/>
        </w:rPr>
        <w:t>1 项目概述</w:t>
      </w:r>
      <w:bookmarkEnd w:id="0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为优化医院静脉输液、肌注、雾化等临床护理工作流程，解决输液高峰期操作繁琐、质控追溯难、安全风险高、统计繁琐、医患交互不便等痛点，建设一体化智慧静脉输液管理系统。系统依托PC端与PDA移动端协同作业，覆盖系统管理、患者接诊、皮试管控、配药穿刺、巡视换药、座位管理、呼叫服务、数据统计全业务场景，同时对接医院现有HIS系统、呼叫铃、药房管理系统等第三方平台，实现医嘱同步、用药闭环、智能预警、无纸化办公、精准质控溯源，全面提升临床护理工作效率、用药安全管控水平与患者就医体验。</w:t>
      </w:r>
    </w:p>
    <w:p>
      <w:pPr>
        <w:spacing w:before="380" w:after="140" w:line="288" w:lineRule="auto"/>
        <w:ind w:left="0"/>
        <w:jc w:val="left"/>
        <w:outlineLvl w:val="0"/>
        <w:rPr>
          <w:rFonts w:ascii="Calibri" w:hAnsi="Calibri" w:eastAsia="宋体" w:cs="Times New Roman"/>
          <w:kern w:val="0"/>
          <w:szCs w:val="22"/>
          <w:lang/>
        </w:rPr>
      </w:pPr>
      <w:bookmarkStart w:id="1" w:name="heading_6"/>
      <w:r>
        <w:rPr>
          <w:rFonts w:hint="eastAsia" w:ascii="Arial" w:hAnsi="Arial" w:eastAsia="等线" w:cs="Arial"/>
          <w:b/>
          <w:kern w:val="0"/>
          <w:sz w:val="36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6"/>
          <w:szCs w:val="22"/>
          <w:lang/>
        </w:rPr>
        <w:t xml:space="preserve"> 核心功能模块需求</w:t>
      </w:r>
      <w:bookmarkEnd w:id="1"/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2" w:name="heading_7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.1 系统基础管理模块</w:t>
      </w:r>
      <w:bookmarkEnd w:id="2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本模块为系统基础支撑模块，实现账号权限、科室资源、设备数据、字典参数、统计规则的统一维护管理，保障系统规范化、标准化运行。</w:t>
      </w:r>
    </w:p>
    <w:p>
      <w:pPr>
        <w:spacing w:before="300" w:after="120" w:line="288" w:lineRule="auto"/>
        <w:ind w:left="0"/>
        <w:jc w:val="left"/>
        <w:outlineLvl w:val="2"/>
        <w:rPr>
          <w:rFonts w:ascii="Calibri" w:hAnsi="Calibri" w:eastAsia="宋体" w:cs="Times New Roman"/>
          <w:kern w:val="0"/>
          <w:szCs w:val="22"/>
          <w:lang/>
        </w:rPr>
      </w:pPr>
      <w:bookmarkStart w:id="3" w:name="heading_8"/>
      <w:r>
        <w:rPr>
          <w:rFonts w:hint="eastAsia" w:ascii="Arial" w:hAnsi="Arial" w:eastAsia="等线" w:cs="Arial"/>
          <w:b/>
          <w:kern w:val="0"/>
          <w:sz w:val="30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lang/>
        </w:rPr>
        <w:t>.1.1 系统登录与用户管理</w:t>
      </w:r>
      <w:bookmarkEnd w:id="3"/>
    </w:p>
    <w:p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多端登录方式：PC端、PDA端支持手动输入账号密码登录；PDA端支持扫描员工号输密登录、扫描安全码免工号密码快捷登录。</w:t>
      </w:r>
    </w:p>
    <w:p>
      <w:pPr>
        <w:numPr>
          <w:ilvl w:val="0"/>
          <w:numId w:val="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用户操作管理：支持PC端、PDA端用户自主修改密码，系统默认密码强制弹窗提醒修改，具备密码复杂度校验机制，支持大小写字母、数字、特殊字符组合校验。</w:t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用户切换功能：PC端支持输入账号密码快速切换登录用户，适配多护士轮岗作业场景。</w:t>
      </w:r>
    </w:p>
    <w:p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时间同步机制：PC端、PDA端登录后自动同步服务器标准时间，保障所有操作时间统一、精准可溯源。</w:t>
      </w:r>
    </w:p>
    <w:p>
      <w:pPr>
        <w:numPr>
          <w:ilvl w:val="0"/>
          <w:numId w:val="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账号权限管控：支持用户新增、修改、删除、员工码打印、密码重置，结合角色权限实现分级管理。</w:t>
      </w:r>
    </w:p>
    <w:p>
      <w:pPr>
        <w:spacing w:before="300" w:after="120" w:line="288" w:lineRule="auto"/>
        <w:ind w:left="0"/>
        <w:jc w:val="left"/>
        <w:outlineLvl w:val="2"/>
        <w:rPr>
          <w:rFonts w:ascii="Calibri" w:hAnsi="Calibri" w:eastAsia="宋体" w:cs="Times New Roman"/>
          <w:kern w:val="0"/>
          <w:szCs w:val="22"/>
          <w:lang/>
        </w:rPr>
      </w:pPr>
      <w:bookmarkStart w:id="4" w:name="heading_9"/>
      <w:r>
        <w:rPr>
          <w:rFonts w:hint="eastAsia" w:ascii="Arial" w:hAnsi="Arial" w:eastAsia="等线" w:cs="Arial"/>
          <w:b/>
          <w:kern w:val="0"/>
          <w:sz w:val="30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lang/>
        </w:rPr>
        <w:t>.1.2 角色与科室资源管理</w:t>
      </w:r>
      <w:bookmarkEnd w:id="4"/>
    </w:p>
    <w:p>
      <w:pPr>
        <w:numPr>
          <w:ilvl w:val="0"/>
          <w:numId w:val="6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角色管理：预设系统管理员、护士长、护士等医院通用角色，支持自定义新增、修改、删除角色，精细化分配功能操作权限。</w:t>
      </w:r>
    </w:p>
    <w:p>
      <w:pPr>
        <w:numPr>
          <w:ilvl w:val="0"/>
          <w:numId w:val="7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科室管理：维护全院科室基础信息，支持新增、编辑、删除操作，关联对应接单台、输液区资源。</w:t>
      </w:r>
    </w:p>
    <w:p>
      <w:pPr>
        <w:numPr>
          <w:ilvl w:val="0"/>
          <w:numId w:val="8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输液资源管理：支持输液区、床位、输液台、接单台信息维护，可配置输液区序列规则、自动分配座位模式、区域类型，支持床位增减、资源关联绑定。</w:t>
      </w:r>
    </w:p>
    <w:p>
      <w:pPr>
        <w:numPr>
          <w:ilvl w:val="0"/>
          <w:numId w:val="9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序列管理：自定义业务序列规则，配置序列重置时间、下一序列值，保障患者排队序号规范有序。</w:t>
      </w:r>
    </w:p>
    <w:p>
      <w:pPr>
        <w:spacing w:before="300" w:after="120" w:line="288" w:lineRule="auto"/>
        <w:ind w:left="0"/>
        <w:jc w:val="left"/>
        <w:outlineLvl w:val="2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bookmarkStart w:id="5" w:name="heading_10"/>
      <w:r>
        <w:rPr>
          <w:rFonts w:hint="eastAsia" w:ascii="Arial" w:hAnsi="Arial" w:eastAsia="等线" w:cs="Arial"/>
          <w:b/>
          <w:kern w:val="0"/>
          <w:sz w:val="30"/>
          <w:szCs w:val="22"/>
          <w:highlight w:val="none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highlight w:val="none"/>
          <w:lang/>
        </w:rPr>
        <w:t>.1.</w:t>
      </w:r>
      <w:r>
        <w:rPr>
          <w:rFonts w:hint="eastAsia" w:ascii="Arial" w:hAnsi="Arial" w:eastAsia="等线" w:cs="Arial"/>
          <w:b/>
          <w:kern w:val="0"/>
          <w:sz w:val="30"/>
          <w:szCs w:val="22"/>
          <w:highlight w:val="none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highlight w:val="none"/>
          <w:lang/>
        </w:rPr>
        <w:t xml:space="preserve"> 设备与药物基础管理</w:t>
      </w:r>
      <w:bookmarkEnd w:id="5"/>
    </w:p>
    <w:p>
      <w:pPr>
        <w:numPr>
          <w:ilvl w:val="0"/>
          <w:numId w:val="1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设备管理：统一维护呼叫屏</w:t>
      </w:r>
      <w:r>
        <w:rPr>
          <w:rFonts w:hint="eastAsia" w:ascii="Arial" w:hAnsi="Arial" w:eastAsia="等线" w:cs="Arial"/>
          <w:kern w:val="0"/>
          <w:sz w:val="22"/>
          <w:szCs w:val="22"/>
          <w:highlight w:val="none"/>
          <w:lang w:eastAsia="zh-CN"/>
        </w:rPr>
        <w:t>、</w:t>
      </w:r>
      <w:r>
        <w:rPr>
          <w:rFonts w:hint="eastAsia" w:ascii="Arial" w:hAnsi="Arial" w:eastAsia="等线" w:cs="Arial"/>
          <w:kern w:val="0"/>
          <w:sz w:val="22"/>
          <w:szCs w:val="22"/>
          <w:highlight w:val="none"/>
          <w:lang w:val="en-US" w:eastAsia="zh-CN"/>
        </w:rPr>
        <w:t>输液监控器</w:t>
      </w: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等所有医用设备信息，可查看设备IP、MAC地址、在线状态、设备类型，支持设备状态实时监控。</w:t>
      </w:r>
    </w:p>
    <w:p>
      <w:pPr>
        <w:numPr>
          <w:ilvl w:val="0"/>
          <w:numId w:val="1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药物基础管理：维护大输液、本地手工录入药物代码与名称</w:t>
      </w:r>
      <w:r>
        <w:rPr>
          <w:rFonts w:ascii="Arial" w:hAnsi="Arial" w:eastAsia="等线" w:cs="Arial"/>
          <w:kern w:val="0"/>
          <w:sz w:val="22"/>
          <w:szCs w:val="22"/>
          <w:lang/>
        </w:rPr>
        <w:t>；单独维护需皮试药物信息，自定义皮试时长、皮试有效期，适配临床特殊用药规范。</w:t>
      </w:r>
    </w:p>
    <w:p>
      <w:pPr>
        <w:spacing w:before="300" w:after="120" w:line="288" w:lineRule="auto"/>
        <w:ind w:left="0"/>
        <w:jc w:val="left"/>
        <w:outlineLvl w:val="2"/>
        <w:rPr>
          <w:rFonts w:ascii="Calibri" w:hAnsi="Calibri" w:eastAsia="宋体" w:cs="Times New Roman"/>
          <w:kern w:val="0"/>
          <w:szCs w:val="22"/>
          <w:lang/>
        </w:rPr>
      </w:pPr>
      <w:bookmarkStart w:id="6" w:name="heading_11"/>
      <w:r>
        <w:rPr>
          <w:rFonts w:hint="eastAsia" w:ascii="Arial" w:hAnsi="Arial" w:eastAsia="等线" w:cs="Arial"/>
          <w:b/>
          <w:kern w:val="0"/>
          <w:sz w:val="30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lang/>
        </w:rPr>
        <w:t>.1.4 数据字典与统计配置</w:t>
      </w:r>
      <w:bookmarkEnd w:id="6"/>
    </w:p>
    <w:p>
      <w:pPr>
        <w:numPr>
          <w:ilvl w:val="0"/>
          <w:numId w:val="1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数据字典管理：预置异常结束原因、药物类型、取消接单/皮试原因、异常现象、处理结果、处理方式、特殊穿刺原因等全场景字典项，支持自定义新增、修改、删除，适配医院临床作业规范。</w:t>
      </w:r>
    </w:p>
    <w:p>
      <w:pPr>
        <w:numPr>
          <w:ilvl w:val="0"/>
          <w:numId w:val="1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工作量统计配置：自定义维护工作量统计维度，涵盖接单、配药、穿刺、接瓶、拔针、巡视、肌注、雾化等所有护理操作，适配科室绩效考核需求。</w:t>
      </w:r>
    </w:p>
    <w:p>
      <w:pPr>
        <w:numPr>
          <w:ilvl w:val="0"/>
          <w:numId w:val="1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呼叫屏配置：支持呼叫屏类型、展示内容、呼叫语音、信息来源、定时播报内容自定义配置，适配病区宣传与呼叫提醒需求。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7" w:name="heading_12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.2 座位智能管理模块</w:t>
      </w:r>
      <w:bookmarkEnd w:id="7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实现输液座位全流程智能化管控，支持PC端与PDA端双向操作，适配常规、疫情隔座等多种分配规则，实现座位状态实时更新、自动释放、灵活调配。</w:t>
      </w:r>
    </w:p>
    <w:p>
      <w:pPr>
        <w:numPr>
          <w:ilvl w:val="0"/>
          <w:numId w:val="1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座位状态可视化：PC端、PDA端实时展示所有座位空闲、占用状态，可查看占用座位关联患者的输液详情信息，座位展示方位与物理病区完全一致。</w:t>
      </w:r>
    </w:p>
    <w:p>
      <w:pPr>
        <w:numPr>
          <w:ilvl w:val="0"/>
          <w:numId w:val="16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手动管控功能：支持手动占用空闲座位、手动释放已占用座位（含关联患者/无患者两种场景）、为患者重新分配座位、座位互换调整。</w:t>
      </w:r>
    </w:p>
    <w:p>
      <w:pPr>
        <w:numPr>
          <w:ilvl w:val="0"/>
          <w:numId w:val="17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智能分配规则：支持自动顺序分配座位、疫情隔座分配座位两种模式，可后台自由切换，适配不同场景防疫与诊疗需求。</w:t>
      </w:r>
    </w:p>
    <w:p>
      <w:pPr>
        <w:numPr>
          <w:ilvl w:val="0"/>
          <w:numId w:val="18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自动释放机制：患者拔针输液结束后，系统自动释放对应座位，无需人工手动修改状态，减少人工操作。</w:t>
      </w:r>
    </w:p>
    <w:p>
      <w:pPr>
        <w:numPr>
          <w:ilvl w:val="0"/>
          <w:numId w:val="19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PDA专属功能：支持PDA绑定呼叫按钮、移动端查询、释放、占用、重新分配座位，实现移动化作业。</w:t>
      </w:r>
    </w:p>
    <w:p>
      <w:pPr>
        <w:numPr>
          <w:ilvl w:val="0"/>
          <w:numId w:val="2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区域快捷管理：支持一键释放区域所有空位，批量调整座位状态，适配病区高峰期统筹管理。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bookmarkStart w:id="8" w:name="heading_13"/>
      <w:r>
        <w:rPr>
          <w:rFonts w:hint="eastAsia" w:ascii="Arial" w:hAnsi="Arial" w:eastAsia="等线" w:cs="Arial"/>
          <w:b/>
          <w:kern w:val="0"/>
          <w:sz w:val="32"/>
          <w:szCs w:val="22"/>
          <w:highlight w:val="none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highlight w:val="none"/>
          <w:lang/>
        </w:rPr>
        <w:t>.</w:t>
      </w:r>
      <w:r>
        <w:rPr>
          <w:rFonts w:hint="eastAsia" w:ascii="Arial" w:hAnsi="Arial" w:eastAsia="等线" w:cs="Arial"/>
          <w:b/>
          <w:kern w:val="0"/>
          <w:sz w:val="32"/>
          <w:szCs w:val="22"/>
          <w:highlight w:val="none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highlight w:val="none"/>
          <w:lang/>
        </w:rPr>
        <w:t xml:space="preserve"> 叫号与播报管理模块</w:t>
      </w:r>
      <w:bookmarkEnd w:id="8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支持病区呼叫屏、语音播报、定时提醒全场景配置，实现患者呼叫、医嘱提醒、注意事项播报智能化、自动化。</w:t>
      </w:r>
    </w:p>
    <w:p>
      <w:pPr>
        <w:numPr>
          <w:ilvl w:val="0"/>
          <w:numId w:val="2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显示屏内容配置：自定义电视机、呼叫屏滚动展示的病区提醒事项、宣教内容，支持内容实时更新。</w:t>
      </w:r>
    </w:p>
    <w:p>
      <w:pPr>
        <w:numPr>
          <w:ilvl w:val="0"/>
          <w:numId w:val="2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呼叫信息配置：可设置呼叫屏展示的输液区患者呼叫信息范围，精准匹配病区诊疗范围。</w:t>
      </w:r>
    </w:p>
    <w:p>
      <w:pPr>
        <w:numPr>
          <w:ilvl w:val="0"/>
          <w:numId w:val="2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语音呼叫配置：自定义呼叫语音内容，支持播报排队号、患者姓名、穿刺台名称等关键信息。</w:t>
      </w:r>
    </w:p>
    <w:p>
      <w:pPr>
        <w:numPr>
          <w:ilvl w:val="0"/>
          <w:numId w:val="2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定时播报管理：支持配置定时播报内容，自动循环提醒病区工作重点、注意事项，减少人工值守提醒。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9" w:name="heading_14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.4 静脉输液核心业务模块</w:t>
      </w:r>
      <w:bookmarkEnd w:id="9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覆盖患者接单、标签打印、组方调整、座位分配、用药核对全流程，支持多种接单模式、标签自定义、医嘱修改优化，适配常规及特殊临床场景。</w:t>
      </w:r>
    </w:p>
    <w:p>
      <w:pPr>
        <w:spacing w:before="300" w:after="120" w:line="288" w:lineRule="auto"/>
        <w:ind w:left="0"/>
        <w:jc w:val="left"/>
        <w:outlineLvl w:val="2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bookmarkStart w:id="10" w:name="heading_15"/>
      <w:r>
        <w:rPr>
          <w:rFonts w:hint="eastAsia" w:ascii="Arial" w:hAnsi="Arial" w:eastAsia="等线" w:cs="Arial"/>
          <w:b/>
          <w:kern w:val="0"/>
          <w:sz w:val="30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lang/>
        </w:rPr>
        <w:t>.4.1 多</w:t>
      </w:r>
      <w:r>
        <w:rPr>
          <w:rFonts w:ascii="Arial" w:hAnsi="Arial" w:eastAsia="等线" w:cs="Arial"/>
          <w:b/>
          <w:kern w:val="0"/>
          <w:sz w:val="30"/>
          <w:szCs w:val="22"/>
          <w:highlight w:val="none"/>
          <w:lang/>
        </w:rPr>
        <w:t>模式接单管理</w:t>
      </w:r>
      <w:bookmarkEnd w:id="10"/>
    </w:p>
    <w:p>
      <w:pPr>
        <w:numPr>
          <w:ilvl w:val="0"/>
          <w:numId w:val="2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多渠道处方查询：支持通过病历号、就诊卡号、处方号查询患者处方，可自定义查询时间范围，快速调取新开输液医嘱。</w:t>
      </w:r>
    </w:p>
    <w:p>
      <w:pPr>
        <w:numPr>
          <w:ilvl w:val="0"/>
          <w:numId w:val="26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多样化接单方式：支持扫描处方条码接单、读卡器刷卡接单、双重扫描确认接单、简洁/增强模式手工方接单，适配不同诊疗场景。</w:t>
      </w:r>
    </w:p>
    <w:p>
      <w:pPr>
        <w:numPr>
          <w:ilvl w:val="0"/>
          <w:numId w:val="27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手工方接单：简洁模式仅录入患者信息即可生成单据，无需展示药物详情；增强模式完整录入剂量、用法、频度等用药信息，满足特殊处方录入需求。</w:t>
      </w:r>
    </w:p>
    <w:p>
      <w:pPr>
        <w:numPr>
          <w:ilvl w:val="0"/>
          <w:numId w:val="28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多处方选择：患者多张处方时，弹窗展示所有处方，支持选择性登记接单。</w:t>
      </w:r>
    </w:p>
    <w:p>
      <w:pPr>
        <w:numPr>
          <w:ilvl w:val="0"/>
          <w:numId w:val="29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智能提醒机制：接单时自动展示处方收费状态、皮试药物结果提醒，规避未皮试、未缴费违规操作。</w:t>
      </w:r>
    </w:p>
    <w:p>
      <w:pPr>
        <w:spacing w:before="300" w:after="120" w:line="288" w:lineRule="auto"/>
        <w:ind w:left="0"/>
        <w:jc w:val="left"/>
        <w:outlineLvl w:val="2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bookmarkStart w:id="11" w:name="heading_16"/>
      <w:r>
        <w:rPr>
          <w:rFonts w:hint="eastAsia" w:ascii="Arial" w:hAnsi="Arial" w:eastAsia="等线" w:cs="Arial"/>
          <w:b/>
          <w:kern w:val="0"/>
          <w:sz w:val="30"/>
          <w:szCs w:val="22"/>
          <w:highlight w:val="none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highlight w:val="none"/>
          <w:lang/>
        </w:rPr>
        <w:t>.4.2 医嘱与组方管理</w:t>
      </w:r>
      <w:bookmarkEnd w:id="11"/>
    </w:p>
    <w:p>
      <w:pPr>
        <w:numPr>
          <w:ilvl w:val="0"/>
          <w:numId w:val="3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医嘱修改优化：支持修改医嘱剂量、数量、频度、用法，支持医嘱拆分调整，适配患者个体化诊疗需求。</w:t>
      </w:r>
    </w:p>
    <w:p>
      <w:pPr>
        <w:numPr>
          <w:ilvl w:val="0"/>
          <w:numId w:val="3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智能组方功能：支持手动勾选组方、弹窗向导组方、历史组方智能复用，快速完成多条医嘱组合，提升接单效率。</w:t>
      </w:r>
    </w:p>
    <w:p>
      <w:pPr>
        <w:numPr>
          <w:ilvl w:val="0"/>
          <w:numId w:val="3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医嘱智能排序：系统自动按急诊、危重、常规、定时医嘱划分优先级，实现护理任务智能分拣排序。</w:t>
      </w:r>
    </w:p>
    <w:p>
      <w:pPr>
        <w:numPr>
          <w:ilvl w:val="0"/>
          <w:numId w:val="3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外带药品录入：支持录入外带药品、接瓶用药、多路用药记录，全覆盖临床用药场景。</w:t>
      </w:r>
    </w:p>
    <w:p>
      <w:pPr>
        <w:spacing w:before="300" w:after="120" w:line="288" w:lineRule="auto"/>
        <w:ind w:left="0"/>
        <w:jc w:val="left"/>
        <w:outlineLvl w:val="2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bookmarkStart w:id="12" w:name="heading_17"/>
      <w:r>
        <w:rPr>
          <w:rFonts w:hint="eastAsia" w:ascii="Arial" w:hAnsi="Arial" w:eastAsia="等线" w:cs="Arial"/>
          <w:b/>
          <w:kern w:val="0"/>
          <w:sz w:val="30"/>
          <w:szCs w:val="22"/>
          <w:highlight w:val="none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highlight w:val="none"/>
          <w:lang/>
        </w:rPr>
        <w:t>.4.</w:t>
      </w:r>
      <w:r>
        <w:rPr>
          <w:rFonts w:hint="eastAsia" w:ascii="Arial" w:hAnsi="Arial" w:eastAsia="等线" w:cs="Arial"/>
          <w:b/>
          <w:kern w:val="0"/>
          <w:sz w:val="30"/>
          <w:szCs w:val="22"/>
          <w:highlight w:val="none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highlight w:val="none"/>
          <w:lang/>
        </w:rPr>
        <w:t xml:space="preserve"> 标签打印自定义管理</w:t>
      </w:r>
      <w:bookmarkEnd w:id="12"/>
    </w:p>
    <w:p>
      <w:pPr>
        <w:numPr>
          <w:ilvl w:val="0"/>
          <w:numId w:val="3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标签个性化配置：支持自定义标签尺寸、排版、展示内容，可设置单张打印张数、整体打印套数，自由调整标签预览顺序。</w:t>
      </w:r>
    </w:p>
    <w:p>
      <w:pPr>
        <w:numPr>
          <w:ilvl w:val="0"/>
          <w:numId w:val="3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特殊标记打印：支持高危药物、特殊剂量药物专属标记打印，快速区分特殊用药，强化安全管控。</w:t>
      </w:r>
    </w:p>
    <w:p>
      <w:pPr>
        <w:numPr>
          <w:ilvl w:val="0"/>
          <w:numId w:val="36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条码多样化适配：支持code128、code</w:t>
      </w:r>
      <w:r>
        <w:rPr>
          <w:rFonts w:hint="eastAsia" w:ascii="Arial" w:hAnsi="Arial" w:eastAsia="等线" w:cs="Arial"/>
          <w:kern w:val="0"/>
          <w:sz w:val="22"/>
          <w:szCs w:val="22"/>
          <w:highlight w:val="none"/>
          <w:lang w:eastAsia="zh-CN"/>
        </w:rPr>
        <w:t>2</w:t>
      </w: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9、pdf417、QRcode等多种条码类型，适配各类扫码设备。</w:t>
      </w:r>
    </w:p>
    <w:p>
      <w:pPr>
        <w:numPr>
          <w:ilvl w:val="0"/>
          <w:numId w:val="37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自定义打印规则：可按执行途径、用药类型设置打印规则，支持自动打印、手动打印自由切换。</w:t>
      </w:r>
    </w:p>
    <w:p>
      <w:pPr>
        <w:numPr>
          <w:ilvl w:val="0"/>
          <w:numId w:val="38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标签参数设置：支持手动设置药物滴速、标签备注、输液注意事项，完善用药信息。</w:t>
      </w:r>
    </w:p>
    <w:p>
      <w:pPr>
        <w:spacing w:before="300" w:after="120" w:line="288" w:lineRule="auto"/>
        <w:ind w:left="0"/>
        <w:jc w:val="left"/>
        <w:outlineLvl w:val="2"/>
        <w:rPr>
          <w:rFonts w:ascii="Calibri" w:hAnsi="Calibri" w:eastAsia="宋体" w:cs="Times New Roman"/>
          <w:kern w:val="0"/>
          <w:szCs w:val="22"/>
          <w:lang/>
        </w:rPr>
      </w:pPr>
      <w:bookmarkStart w:id="13" w:name="heading_18"/>
      <w:r>
        <w:rPr>
          <w:rFonts w:hint="eastAsia" w:ascii="Arial" w:hAnsi="Arial" w:eastAsia="等线" w:cs="Arial"/>
          <w:b/>
          <w:kern w:val="0"/>
          <w:sz w:val="30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0"/>
          <w:szCs w:val="22"/>
          <w:lang/>
        </w:rPr>
        <w:t>.4.4 接单后续管理</w:t>
      </w:r>
      <w:bookmarkEnd w:id="13"/>
    </w:p>
    <w:p>
      <w:pPr>
        <w:numPr>
          <w:ilvl w:val="0"/>
          <w:numId w:val="39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保存模式选择：支持接单后保存并打印、保存不打印两种模式，灵活适配临床操作。</w:t>
      </w:r>
    </w:p>
    <w:p>
      <w:pPr>
        <w:numPr>
          <w:ilvl w:val="0"/>
          <w:numId w:val="4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单据运维功能：支持取消接单、查看本机接单记录、补打患者及药物标签、添加患者备注、重新分配排队序号。</w:t>
      </w:r>
    </w:p>
    <w:p>
      <w:pPr>
        <w:numPr>
          <w:ilvl w:val="0"/>
          <w:numId w:val="4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患者全程可视：科内患者列表实时展示患者基本信息、座位号、液体执行进度、剩余输液时间，实现全流程可视化管控。</w:t>
      </w:r>
    </w:p>
    <w:p>
      <w:pPr>
        <w:numPr>
          <w:ilvl w:val="0"/>
          <w:numId w:val="4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yellow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yellow"/>
          <w:lang/>
        </w:rPr>
        <w:t>输液中患者管理：可以查看输液区当前所有正在输液中的患者，当前正在输液的药袋信息以及输液时长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14" w:name="heading_19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.5 皮试管理模块（PC+PDA协同）</w:t>
      </w:r>
      <w:bookmarkEnd w:id="14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实现皮试开单、计时、提醒、登记、核对、结果回传全流程闭环管控，强化皮试用药安全</w:t>
      </w: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，规避过敏风险。</w:t>
      </w:r>
    </w:p>
    <w:p>
      <w:pPr>
        <w:numPr>
          <w:ilvl w:val="0"/>
          <w:numId w:val="4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皮试开单配置：支持多凭证查询皮试医嘱，可自定义单药物皮试时长、维护通用药物默认皮试时长，支持PC端发起皮试、打印皮试标签。</w:t>
      </w:r>
    </w:p>
    <w:p>
      <w:pPr>
        <w:numPr>
          <w:ilvl w:val="0"/>
          <w:numId w:val="4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倒计时监测提醒：系统实时展示所有皮试患者剩余时间，皮试到期自动弹窗提醒、语音呼叫，杜绝超时漏判。</w:t>
      </w:r>
    </w:p>
    <w:p>
      <w:pPr>
        <w:numPr>
          <w:ilvl w:val="0"/>
          <w:numId w:val="4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皮试结果登记：PC端支持单人登记、双人核对登记，全程留存操作记录，可随时查询历史皮试数</w:t>
      </w:r>
      <w:r>
        <w:rPr>
          <w:rFonts w:ascii="Arial" w:hAnsi="Arial" w:eastAsia="等线" w:cs="Arial"/>
          <w:kern w:val="0"/>
          <w:sz w:val="22"/>
          <w:szCs w:val="22"/>
          <w:lang/>
        </w:rPr>
        <w:t>据。</w:t>
      </w:r>
    </w:p>
    <w:p>
      <w:pPr>
        <w:numPr>
          <w:ilvl w:val="0"/>
          <w:numId w:val="4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前置校验提醒：PDA配药、穿刺环节自动校验皮试结果，未完成皮试、皮试异常弹窗强制提醒，禁止违规执行。</w:t>
      </w:r>
    </w:p>
    <w:p>
      <w:pPr>
        <w:numPr>
          <w:ilvl w:val="0"/>
          <w:numId w:val="46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数据闭环回传：皮试结果自动同步回传至医院HIS系统，实现医嘱数据互通。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15" w:name="heading_20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.6 高危药物安全管控模块</w:t>
      </w:r>
      <w:bookmarkEnd w:id="15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针对高危药物实施全流程特殊管控，通过可视化标记、双人核对、双签溯源，筑牢特殊用药安全防线。</w:t>
      </w:r>
    </w:p>
    <w:p>
      <w:pPr>
        <w:numPr>
          <w:ilvl w:val="0"/>
          <w:numId w:val="47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多端特殊展示：PC端、PDA端高危药物红色斜体展示，药物标签斜体加粗标记，醒目区分特殊用药。</w:t>
      </w:r>
    </w:p>
    <w:p>
      <w:pPr>
        <w:numPr>
          <w:ilvl w:val="0"/>
          <w:numId w:val="48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配药双人核对：高危药物配药时强制弹窗，需录入核对人工号、密码完成双人校验，方可完成配药。</w:t>
      </w:r>
    </w:p>
    <w:p>
      <w:pPr>
        <w:numPr>
          <w:ilvl w:val="0"/>
          <w:numId w:val="49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执行双签确认：高危药物穿刺、输液执行环节，需二次双人密码核对，留存双签记录，责任精准溯源。</w:t>
      </w:r>
    </w:p>
    <w:p>
      <w:pPr>
        <w:numPr>
          <w:ilvl w:val="0"/>
          <w:numId w:val="5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特殊用药预警：特殊药物、过敏患者全程弹窗预警，老年、儿童、孕产妇、躁动患者可添加特殊监护标签，重点监护。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16" w:name="heading_21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.7 配药管理模块</w:t>
      </w:r>
      <w:bookmarkEnd w:id="16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支持PC端、PDA端双向配药作业，涵盖单次配药、批量配药、核对校验、撤销操作，实现配药流程规范化、可溯源。</w:t>
      </w:r>
    </w:p>
    <w:p>
      <w:pPr>
        <w:numPr>
          <w:ilvl w:val="0"/>
          <w:numId w:val="5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多端配药作业：PDA支持扫码单次配药、批量配药（单条码批量同步所有药物配药）；PC端支持扫码配药操作。</w:t>
      </w:r>
    </w:p>
    <w:p>
      <w:pPr>
        <w:numPr>
          <w:ilvl w:val="0"/>
          <w:numId w:val="5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配药撤销功能：PC端、PDA端均可撤销配药记录，支持单袋药物撤销、整单批量撤销，适配操作失误修正场景。</w:t>
      </w:r>
    </w:p>
    <w:p>
      <w:pPr>
        <w:numPr>
          <w:ilvl w:val="0"/>
          <w:numId w:val="5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双人核对校验：支持非配药人账号扫码二次核对，杜绝配药差错，规范配药流程。</w:t>
      </w:r>
    </w:p>
    <w:p>
      <w:pPr>
        <w:numPr>
          <w:ilvl w:val="0"/>
          <w:numId w:val="5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配药溯源记录：自动留存配药人、配药时间、核对人信息，全程可追溯。</w:t>
      </w:r>
    </w:p>
    <w:p>
      <w:pPr>
        <w:numPr>
          <w:ilvl w:val="0"/>
          <w:numId w:val="5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yellow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yellow"/>
          <w:lang/>
        </w:rPr>
        <w:t>药品注意事项提醒：支持在输液系统进行特殊药物注意执行维护，换药、配药环节，多当前存在特殊药物，弹框提醒注意事项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17" w:name="heading_22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.8 穿刺与呼叫管理模块</w:t>
      </w:r>
      <w:bookmarkEnd w:id="17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整合多场景穿刺呼叫、核对、撤销、重穿刺功能，适配集中穿刺、座位穿刺、中途穿刺等全临床场景。</w:t>
      </w:r>
    </w:p>
    <w:p>
      <w:pPr>
        <w:numPr>
          <w:ilvl w:val="0"/>
          <w:numId w:val="56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多场景呼叫模式：支持集中穿刺台呼叫、病床座位穿刺呼叫、输液中途二次穿刺呼叫，适配不同诊疗流程。</w:t>
      </w:r>
    </w:p>
    <w:p>
      <w:pPr>
        <w:numPr>
          <w:ilvl w:val="0"/>
          <w:numId w:val="57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精准核对穿刺：PC端、PDA端支持扫描患者联、药物联双联核对，信息不匹配禁止穿刺执行，规避错穿风险。</w:t>
      </w:r>
    </w:p>
    <w:p>
      <w:pPr>
        <w:numPr>
          <w:ilvl w:val="0"/>
          <w:numId w:val="58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穿刺运维操作：支持撤销穿刺（患者状态回退至等待穿刺）、特殊穿刺登记、二次重新穿刺，适配特殊临床情况。</w:t>
      </w:r>
    </w:p>
    <w:p>
      <w:pPr>
        <w:numPr>
          <w:ilvl w:val="0"/>
          <w:numId w:val="59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PDA快捷呼叫：护士通过PDA选择对应穿刺台，扫码即可触发患者呼叫，高效便捷。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18" w:name="heading_23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.9 换药、加药与联合输液模块</w:t>
      </w:r>
      <w:bookmarkEnd w:id="18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覆盖输液全程换药、补药、联合输液场景，实现多药袋协同管理、状态精准管控。</w:t>
      </w:r>
    </w:p>
    <w:p>
      <w:pPr>
        <w:numPr>
          <w:ilvl w:val="0"/>
          <w:numId w:val="6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换药管理：PC端、PDA端支持双联扫码换药核对，支持换药撤销操作，全程留存换药记录。</w:t>
      </w:r>
    </w:p>
    <w:p>
      <w:pPr>
        <w:numPr>
          <w:ilvl w:val="0"/>
          <w:numId w:val="6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自动加药功能：存在未结束输液记录时，新增药物可自动合并至原有接单记录，无需重复接单。</w:t>
      </w:r>
    </w:p>
    <w:p>
      <w:pPr>
        <w:numPr>
          <w:ilvl w:val="0"/>
          <w:numId w:val="6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联合输液管理：支持打印联合输液专属条码，扫码完成多药袋联合输液绑定；支持单袋结束、全部结束灵活操作，系统自动标记联合输液记录。</w:t>
      </w:r>
    </w:p>
    <w:p>
      <w:pPr>
        <w:numPr>
          <w:ilvl w:val="-1"/>
          <w:numId w:val="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red"/>
          <w:lang/>
        </w:rPr>
      </w:pP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19" w:name="heading_24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.10 座位呼叫与患者服务模块</w:t>
      </w:r>
      <w:bookmarkEnd w:id="19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打通患者求助、护士响应双向通道，结合智能宣教、费用公示，提升患者就医体验，优化病区秩序。</w:t>
      </w:r>
    </w:p>
    <w:p>
      <w:pPr>
        <w:numPr>
          <w:ilvl w:val="0"/>
          <w:numId w:val="6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设备对接呼叫：支持对接病区呼叫铃设备，患者一键呼叫，PC端、PDA端同步弹窗提示、语音提醒。</w:t>
      </w:r>
    </w:p>
    <w:p>
      <w:pPr>
        <w:numPr>
          <w:ilvl w:val="0"/>
          <w:numId w:val="6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移动端呼叫处理：PDA实时展示患者呼叫列表，支持一键响应、添加巡视记录、接瓶、拔针闭环处理呼叫工单。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20" w:name="heading_25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.11 输液巡视与质控模块</w:t>
      </w:r>
      <w:bookmarkEnd w:id="20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实现输液过程动态巡视、滴速管控、异常记录、不良反应上报，全程把控输液安全。</w:t>
      </w:r>
    </w:p>
    <w:p>
      <w:pPr>
        <w:numPr>
          <w:ilvl w:val="0"/>
          <w:numId w:val="6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滴速智能管控：支持手动设置、调整输液滴速，系统预设标准滴速阈值，实际滴速偏差过大自动预警，规避输液风险。</w:t>
      </w:r>
    </w:p>
    <w:p>
      <w:pPr>
        <w:numPr>
          <w:ilvl w:val="0"/>
          <w:numId w:val="66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快速巡视登记：PDA扫描药物联即可快速添加巡视记录，自动留存巡视人、巡视时间、巡视内容。</w:t>
      </w:r>
    </w:p>
    <w:p>
      <w:pPr>
        <w:numPr>
          <w:ilvl w:val="0"/>
          <w:numId w:val="67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异常台账管理：支持手动添加输液异常巡视记录，选择异常现象、处理方式、处理结果，形成完整质控台账。</w:t>
      </w:r>
    </w:p>
    <w:p>
      <w:pPr>
        <w:numPr>
          <w:ilvl w:val="0"/>
          <w:numId w:val="68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yellow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yellow"/>
          <w:lang/>
        </w:rPr>
        <w:t>不良反应上报：输液系统配合将输液过程中发生的不良事件回写给不良事件系统（与不良 事件系统沟通确定数据内容与具体回写方式）</w:t>
      </w:r>
    </w:p>
    <w:p>
      <w:pPr>
        <w:numPr>
          <w:ilvl w:val="0"/>
          <w:numId w:val="69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全流程溯源存档：所有巡视、操作、异常记录长期存档，支持质控核查、责任追溯。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21" w:name="heading_26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.12 输液结束与补执行模块</w:t>
      </w:r>
      <w:bookmarkEnd w:id="21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规范输液收尾流程，解决漏操作、晚操作问题，完善临床台账闭环管理。</w:t>
      </w:r>
    </w:p>
    <w:p>
      <w:pPr>
        <w:numPr>
          <w:ilvl w:val="0"/>
          <w:numId w:val="7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多端结束输液：PC端支持右键选择接单记录、录入结束原因完成输液收尾；PDA端一键拔针结束输液，操作便捷。</w:t>
      </w:r>
    </w:p>
    <w:p>
      <w:pPr>
        <w:numPr>
          <w:ilvl w:val="0"/>
          <w:numId w:val="7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患者去向管理：支持医院自定义输液结束后患者去向，完善患者诊疗闭环管理。</w:t>
      </w:r>
    </w:p>
    <w:p>
      <w:pPr>
        <w:numPr>
          <w:ilvl w:val="0"/>
          <w:numId w:val="7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补执行登记：PC端支持漏操作单据补执行，录入执行时间、结束时间、操作原因、执行人信息。</w:t>
      </w:r>
    </w:p>
    <w:p>
      <w:pPr>
        <w:numPr>
          <w:ilvl w:val="0"/>
          <w:numId w:val="7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补执行溯源：查询统计模块专属展示补执行记录，实现非规范操作全程可追溯。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22" w:name="heading_27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.1</w:t>
      </w:r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 xml:space="preserve"> 肌注、雾化专项管理模块</w:t>
      </w:r>
      <w:bookmarkEnd w:id="22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适配肌注、雾化专科诊疗流程，实现与静脉输液统一的安全管控、数据统计、流程标准化。</w:t>
      </w:r>
    </w:p>
    <w:p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前置状态校验：执行前自动判断药物配药状态，异常弹窗提醒，禁止违规执行。</w:t>
      </w:r>
    </w:p>
    <w:p>
      <w:pPr>
        <w:numPr>
          <w:ilvl w:val="0"/>
          <w:numId w:val="7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灵活呼叫模式：支持单条扫码呼叫、批量扫码批量叫号、重复呼叫，适配不同诊疗节奏。</w:t>
      </w:r>
    </w:p>
    <w:p>
      <w:pPr>
        <w:numPr>
          <w:ilvl w:val="0"/>
          <w:numId w:val="76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信息可视化：PDA端实时展示患者基本信息、排队信息、接单医嘱详情，支持扫码快速调</w:t>
      </w: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取医嘱。</w:t>
      </w:r>
    </w:p>
    <w:p>
      <w:pPr>
        <w:numPr>
          <w:ilvl w:val="0"/>
          <w:numId w:val="77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双模式核对：支持单联快速核对、双联精准核对，可根据医院规范自由配置。</w:t>
      </w:r>
    </w:p>
    <w:p>
      <w:pPr>
        <w:numPr>
          <w:ilvl w:val="0"/>
          <w:numId w:val="78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特殊用药管控：特殊药物红色高亮展示，执行强制双人双签核对，信息不匹配禁止执行。</w:t>
      </w:r>
    </w:p>
    <w:p>
      <w:pPr>
        <w:numPr>
          <w:ilvl w:val="0"/>
          <w:numId w:val="79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异常提醒机制：扫码信息不匹配、操作异常实时弹窗提示，杜绝操作差错。</w:t>
      </w:r>
    </w:p>
    <w:p>
      <w:pPr>
        <w:numPr>
          <w:ilvl w:val="0"/>
          <w:numId w:val="80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highlight w:val="none"/>
          <w:lang/>
        </w:rPr>
      </w:pPr>
      <w:r>
        <w:rPr>
          <w:rFonts w:ascii="Arial" w:hAnsi="Arial" w:eastAsia="等线" w:cs="Arial"/>
          <w:kern w:val="0"/>
          <w:sz w:val="22"/>
          <w:szCs w:val="22"/>
          <w:highlight w:val="none"/>
          <w:lang/>
        </w:rPr>
        <w:t>台账与统计：支持补执行登记、补录记录查询，自动统计肌注、雾化工作量，生成专项治疗明细报表。</w:t>
      </w:r>
    </w:p>
    <w:p>
      <w:pPr>
        <w:spacing w:before="320" w:after="120" w:line="288" w:lineRule="auto"/>
        <w:ind w:left="0"/>
        <w:jc w:val="left"/>
        <w:outlineLvl w:val="1"/>
        <w:rPr>
          <w:rFonts w:ascii="Calibri" w:hAnsi="Calibri" w:eastAsia="宋体" w:cs="Times New Roman"/>
          <w:kern w:val="0"/>
          <w:szCs w:val="22"/>
          <w:lang/>
        </w:rPr>
      </w:pPr>
      <w:bookmarkStart w:id="23" w:name="heading_28"/>
      <w:r>
        <w:rPr>
          <w:rFonts w:hint="eastAsia" w:ascii="Arial" w:hAnsi="Arial" w:eastAsia="等线" w:cs="Arial"/>
          <w:b/>
          <w:kern w:val="0"/>
          <w:sz w:val="32"/>
          <w:szCs w:val="22"/>
          <w:lang w:eastAsia="zh-CN"/>
        </w:rPr>
        <w:t>2</w:t>
      </w:r>
      <w:r>
        <w:rPr>
          <w:rFonts w:ascii="Arial" w:hAnsi="Arial" w:eastAsia="等线" w:cs="Arial"/>
          <w:b/>
          <w:kern w:val="0"/>
          <w:sz w:val="32"/>
          <w:szCs w:val="22"/>
          <w:lang/>
        </w:rPr>
        <w:t>.14 数据查询与统计报表模块</w:t>
      </w:r>
      <w:bookmarkEnd w:id="23"/>
    </w:p>
    <w:p>
      <w:p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覆盖全业务数据统计、明细查询、报表导出打印，适配临床质控、绩效考核、科室管理需求。</w:t>
      </w:r>
    </w:p>
    <w:p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明细类查询：支持输液明细、巡视明细、皮试记录、呼叫历史、患者诊疗信息全维度查询，展示操作人、操作时间、操作内容等溯源信息。</w:t>
      </w:r>
    </w:p>
    <w:p>
      <w:pPr>
        <w:numPr>
          <w:ilvl w:val="0"/>
          <w:numId w:val="82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统计类报表：支持护士个人工作量、输液区域工作量、科室接单数、开方科室接单数、用药袋数、大输液用量、用药用法统计。</w:t>
      </w:r>
    </w:p>
    <w:p>
      <w:pPr>
        <w:numPr>
          <w:ilvl w:val="0"/>
          <w:numId w:val="83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质控类统计：支持操作质量统计（漏扫率、拔针率、执行时效）、处方错误率统计（剂量、频度、组方错误），助力科室质控整改。</w:t>
      </w:r>
    </w:p>
    <w:p>
      <w:pPr>
        <w:numPr>
          <w:ilvl w:val="0"/>
          <w:numId w:val="84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耗材与绩效：自动核销医用耗材用量，精细化统计各类护理操作工作量，数据适配科室绩效考核体系。</w:t>
      </w:r>
    </w:p>
    <w:p>
      <w:pPr>
        <w:numPr>
          <w:ilvl w:val="0"/>
          <w:numId w:val="85"/>
        </w:numPr>
        <w:spacing w:before="120" w:after="120" w:line="288" w:lineRule="auto"/>
        <w:ind w:left="0"/>
        <w:jc w:val="left"/>
        <w:rPr>
          <w:rFonts w:ascii="Calibri" w:hAnsi="Calibri" w:eastAsia="宋体" w:cs="Times New Roman"/>
          <w:kern w:val="0"/>
          <w:szCs w:val="22"/>
          <w:lang/>
        </w:rPr>
      </w:pPr>
      <w:r>
        <w:rPr>
          <w:rFonts w:ascii="Arial" w:hAnsi="Arial" w:eastAsia="等线" w:cs="Arial"/>
          <w:kern w:val="0"/>
          <w:sz w:val="22"/>
          <w:szCs w:val="22"/>
          <w:lang/>
        </w:rPr>
        <w:t>报表能力：所有报表支持在线预览、条件筛选、导出、打印，数据实时更新、精准无误。</w:t>
      </w:r>
    </w:p>
    <w:p>
      <w:pPr>
        <w:spacing w:before="120" w:after="120" w:line="288" w:lineRule="auto"/>
        <w:ind w:left="0"/>
        <w:jc w:val="left"/>
        <w:sectPr>
          <w:headerReference r:id="rId3" w:type="default"/>
          <w:footerReference r:id="rId4" w:type="default"/>
          <w:pgSz w:w="11905" w:h="16840"/>
          <w:cols w:space="720" w:num="1"/>
        </w:sectPr>
      </w:pPr>
    </w:p>
    <w:p>
      <w:pPr>
        <w:keepNext/>
        <w:keepLines/>
        <w:widowControl w:val="0"/>
        <w:numPr>
          <w:ilvl w:val="1"/>
          <w:numId w:val="86"/>
        </w:numPr>
        <w:spacing w:before="260" w:beforeLines="0" w:beforeAutospacing="0" w:after="260" w:afterLines="0" w:afterAutospacing="0" w:line="360" w:lineRule="auto"/>
        <w:ind w:left="575" w:hanging="575"/>
        <w:jc w:val="both"/>
        <w:outlineLvl w:val="1"/>
        <w:rPr>
          <w:rFonts w:hint="eastAsia" w:ascii="Arial" w:hAnsi="Arial" w:eastAsia="宋体" w:cs="Times New Roman"/>
          <w:b/>
          <w:sz w:val="36"/>
          <w:szCs w:val="22"/>
          <w:lang w:val="en-US" w:eastAsia="zh-CN"/>
        </w:rPr>
      </w:pPr>
      <w:r>
        <w:rPr>
          <w:rFonts w:hint="eastAsia" w:ascii="Arial" w:hAnsi="Arial" w:eastAsia="宋体" w:cs="Times New Roman"/>
          <w:b/>
          <w:sz w:val="36"/>
          <w:szCs w:val="22"/>
          <w:lang w:val="en-US" w:eastAsia="zh-CN"/>
        </w:rPr>
        <w:t>重点功能截图</w:t>
      </w:r>
    </w:p>
    <w:p>
      <w:pPr>
        <w:numPr>
          <w:ilvl w:val="0"/>
          <w:numId w:val="87"/>
        </w:numPr>
        <w:ind w:firstLine="420"/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PDA端支持绑定呼叫按钮（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提供系统功能截图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numPr>
          <w:ilvl w:val="0"/>
          <w:numId w:val="87"/>
        </w:numPr>
        <w:ind w:firstLine="420"/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PDA展示病人的呼叫信息（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提供系统功能截图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numPr>
          <w:ilvl w:val="0"/>
          <w:numId w:val="87"/>
        </w:numPr>
        <w:ind w:firstLine="420"/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PDA病人呼叫列表点击对应病人信息后的“响应”处理呼叫（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提供系统功能截图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numPr>
          <w:ilvl w:val="0"/>
          <w:numId w:val="87"/>
        </w:numPr>
        <w:ind w:firstLine="420"/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PDA上展示医嘱信息时，特殊药物用红色字体展示（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提供系统功能截图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numPr>
          <w:ilvl w:val="0"/>
          <w:numId w:val="87"/>
        </w:numPr>
        <w:ind w:firstLine="420"/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执行含有特殊药物的药袋时，将弹出弹框录入第二个人的工号和密码核对成功后方可完成执行（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提供系统功能截图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keepNext/>
        <w:keepLines/>
        <w:widowControl w:val="0"/>
        <w:numPr>
          <w:ilvl w:val="1"/>
          <w:numId w:val="86"/>
        </w:numPr>
        <w:spacing w:before="260" w:beforeLines="0" w:beforeAutospacing="0" w:after="260" w:afterLines="0" w:afterAutospacing="0" w:line="360" w:lineRule="auto"/>
        <w:ind w:left="575" w:hanging="575"/>
        <w:jc w:val="both"/>
        <w:outlineLvl w:val="1"/>
        <w:rPr>
          <w:rFonts w:hint="default" w:ascii="Arial" w:hAnsi="Arial" w:eastAsia="宋体" w:cs="Times New Roman"/>
          <w:b/>
          <w:sz w:val="36"/>
          <w:szCs w:val="22"/>
          <w:highlight w:val="none"/>
          <w:lang w:val="en-US" w:eastAsia="zh-CN"/>
        </w:rPr>
      </w:pPr>
      <w:r>
        <w:rPr>
          <w:rFonts w:hint="eastAsia" w:ascii="Arial" w:hAnsi="Arial" w:eastAsia="宋体" w:cs="Times New Roman"/>
          <w:b/>
          <w:sz w:val="36"/>
          <w:szCs w:val="22"/>
          <w:highlight w:val="none"/>
          <w:lang w:val="en-US" w:eastAsia="zh-CN"/>
        </w:rPr>
        <w:t>重点功能演示</w:t>
      </w:r>
    </w:p>
    <w:p>
      <w:pPr>
        <w:numPr>
          <w:ilvl w:val="0"/>
          <w:numId w:val="88"/>
        </w:numPr>
        <w:ind w:firstLine="420"/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支持配置呼叫屏定时播报的内容（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提供系统功能演示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numPr>
          <w:ilvl w:val="0"/>
          <w:numId w:val="88"/>
        </w:numPr>
        <w:ind w:firstLine="420"/>
        <w:rPr>
          <w:rFonts w:hint="default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维护工作量统计报表需要展示的工作量类型，如接单、配药、穿刺、接瓶、拔针等（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提供系统功能演示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numPr>
          <w:ilvl w:val="0"/>
          <w:numId w:val="88"/>
        </w:numPr>
        <w:ind w:firstLine="420"/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只需输入病人信息即可生成手工方，不展示具体药物信息（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提供系统功能演示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numPr>
          <w:ilvl w:val="0"/>
          <w:numId w:val="88"/>
        </w:numPr>
        <w:ind w:firstLine="420"/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展示皮试病人的皮试剩余时间（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提供系统功能演示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>
      <w:pPr>
        <w:numPr>
          <w:ilvl w:val="0"/>
          <w:numId w:val="88"/>
        </w:numPr>
        <w:ind w:firstLine="420"/>
        <w:rPr>
          <w:rFonts w:hint="default" w:ascii="Calibri" w:hAnsi="Calibri" w:eastAsia="宋体" w:cs="Times New Roman"/>
          <w:kern w:val="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支持查看系统中使用的所有PDA设备ip，mac，状态（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/>
        </w:rPr>
        <w:t>提供系统功能演示</w:t>
      </w:r>
      <w:r>
        <w:rPr>
          <w:rFonts w:hint="eastAsia" w:ascii="Calibri" w:hAnsi="Calibri" w:eastAsia="宋体" w:cs="Times New Roman"/>
          <w:kern w:val="0"/>
          <w:szCs w:val="22"/>
          <w:highlight w:val="none"/>
          <w:lang w:val="en-US" w:eastAsia="zh-CN"/>
        </w:rPr>
        <w:t>）</w:t>
      </w:r>
    </w:p>
    <w:p/>
    <w:sectPr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Calibri" w:hAnsi="Calibri" w:eastAsia="宋体" w:cs="Times New Roman"/>
        <w:kern w:val="0"/>
        <w:szCs w:val="22"/>
        <w:lang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ascii="Calibri" w:hAnsi="Calibri" w:eastAsia="宋体" w:cs="Times New Roman"/>
        <w:kern w:val="0"/>
        <w:szCs w:val="22"/>
        <w:lang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845B5372"/>
    <w:multiLevelType w:val="singleLevel"/>
    <w:tmpl w:val="845B537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8461FADE"/>
    <w:multiLevelType w:val="singleLevel"/>
    <w:tmpl w:val="8461FA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8CAEB125"/>
    <w:multiLevelType w:val="singleLevel"/>
    <w:tmpl w:val="8CAEB1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91995D4F"/>
    <w:multiLevelType w:val="singleLevel"/>
    <w:tmpl w:val="91995D4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91B69C97"/>
    <w:multiLevelType w:val="singleLevel"/>
    <w:tmpl w:val="91B69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9377BC45"/>
    <w:multiLevelType w:val="singleLevel"/>
    <w:tmpl w:val="9377BC4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9578313E"/>
    <w:multiLevelType w:val="singleLevel"/>
    <w:tmpl w:val="9578313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0">
    <w:nsid w:val="9ACF65A0"/>
    <w:multiLevelType w:val="singleLevel"/>
    <w:tmpl w:val="9ACF65A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9D5D7490"/>
    <w:multiLevelType w:val="singleLevel"/>
    <w:tmpl w:val="9D5D749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A0C93552"/>
    <w:multiLevelType w:val="singleLevel"/>
    <w:tmpl w:val="A0C935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A8B93156"/>
    <w:multiLevelType w:val="multilevel"/>
    <w:tmpl w:val="A8B93156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 w:ascii="宋体" w:hAnsi="宋体" w:cs="宋体"/>
        <w:sz w:val="28"/>
        <w:szCs w:val="28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5">
    <w:nsid w:val="AAF3F3FA"/>
    <w:multiLevelType w:val="singleLevel"/>
    <w:tmpl w:val="AAF3F3F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B0ED9BEA"/>
    <w:multiLevelType w:val="singleLevel"/>
    <w:tmpl w:val="B0ED9BE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B23A94A9"/>
    <w:multiLevelType w:val="singleLevel"/>
    <w:tmpl w:val="B23A94A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B53F3350"/>
    <w:multiLevelType w:val="singleLevel"/>
    <w:tmpl w:val="B53F335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B88D21A8"/>
    <w:multiLevelType w:val="singleLevel"/>
    <w:tmpl w:val="B88D21A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2">
    <w:nsid w:val="BB64CFA9"/>
    <w:multiLevelType w:val="singleLevel"/>
    <w:tmpl w:val="BB64CFA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BDA1395C"/>
    <w:multiLevelType w:val="singleLevel"/>
    <w:tmpl w:val="BDA1395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6">
    <w:nsid w:val="C4E0D24A"/>
    <w:multiLevelType w:val="singleLevel"/>
    <w:tmpl w:val="C4E0D24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7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D7D140E4"/>
    <w:multiLevelType w:val="singleLevel"/>
    <w:tmpl w:val="D7D140E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DAD3A854"/>
    <w:multiLevelType w:val="singleLevel"/>
    <w:tmpl w:val="DAD3A8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2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3">
    <w:nsid w:val="E093A4B0"/>
    <w:multiLevelType w:val="singleLevel"/>
    <w:tmpl w:val="E093A4B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E504947C"/>
    <w:multiLevelType w:val="singleLevel"/>
    <w:tmpl w:val="E504947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E7B27C5B"/>
    <w:multiLevelType w:val="singleLevel"/>
    <w:tmpl w:val="E7B27C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E9B4254E"/>
    <w:multiLevelType w:val="singleLevel"/>
    <w:tmpl w:val="E9B4254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7">
    <w:nsid w:val="F0E89278"/>
    <w:multiLevelType w:val="singleLevel"/>
    <w:tmpl w:val="F0E8927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8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9">
    <w:nsid w:val="F7735DC9"/>
    <w:multiLevelType w:val="singleLevel"/>
    <w:tmpl w:val="F7735DC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0">
    <w:nsid w:val="FEC2EA36"/>
    <w:multiLevelType w:val="singleLevel"/>
    <w:tmpl w:val="FEC2EA3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1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0248C179"/>
    <w:multiLevelType w:val="singleLevel"/>
    <w:tmpl w:val="0248C1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3">
    <w:nsid w:val="03A63A41"/>
    <w:multiLevelType w:val="singleLevel"/>
    <w:tmpl w:val="03A63A4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4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5">
    <w:nsid w:val="0709FD3E"/>
    <w:multiLevelType w:val="singleLevel"/>
    <w:tmpl w:val="0709FD3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6">
    <w:nsid w:val="0CEF100B"/>
    <w:multiLevelType w:val="singleLevel"/>
    <w:tmpl w:val="0CEF100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7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8">
    <w:nsid w:val="0F9F9CCA"/>
    <w:multiLevelType w:val="singleLevel"/>
    <w:tmpl w:val="0F9F9CC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9">
    <w:nsid w:val="12EADF99"/>
    <w:multiLevelType w:val="singleLevel"/>
    <w:tmpl w:val="12EADF9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0">
    <w:nsid w:val="18F74015"/>
    <w:multiLevelType w:val="singleLevel"/>
    <w:tmpl w:val="18F740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1">
    <w:nsid w:val="1ACDE60F"/>
    <w:multiLevelType w:val="singleLevel"/>
    <w:tmpl w:val="1ACDE60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2">
    <w:nsid w:val="1BCBBCF0"/>
    <w:multiLevelType w:val="singleLevel"/>
    <w:tmpl w:val="1BCBBCF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3">
    <w:nsid w:val="1C257C7B"/>
    <w:multiLevelType w:val="singleLevel"/>
    <w:tmpl w:val="1C257C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4">
    <w:nsid w:val="23E97754"/>
    <w:multiLevelType w:val="singleLevel"/>
    <w:tmpl w:val="23E977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5">
    <w:nsid w:val="243FCF68"/>
    <w:multiLevelType w:val="singleLevel"/>
    <w:tmpl w:val="243FCF6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6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7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8">
    <w:nsid w:val="2A8F537B"/>
    <w:multiLevelType w:val="singleLevel"/>
    <w:tmpl w:val="2A8F53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9">
    <w:nsid w:val="2F2D79CE"/>
    <w:multiLevelType w:val="singleLevel"/>
    <w:tmpl w:val="2F2D79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0">
    <w:nsid w:val="30A0AC00"/>
    <w:multiLevelType w:val="singleLevel"/>
    <w:tmpl w:val="30A0AC0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1">
    <w:nsid w:val="30FC5B15"/>
    <w:multiLevelType w:val="singleLevel"/>
    <w:tmpl w:val="30FC5B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2">
    <w:nsid w:val="322D85CA"/>
    <w:multiLevelType w:val="singleLevel"/>
    <w:tmpl w:val="322D85C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3">
    <w:nsid w:val="32A7AF2D"/>
    <w:multiLevelType w:val="singleLevel"/>
    <w:tmpl w:val="32A7AF2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4">
    <w:nsid w:val="35E83B33"/>
    <w:multiLevelType w:val="singleLevel"/>
    <w:tmpl w:val="35E83B3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5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6">
    <w:nsid w:val="40B249F9"/>
    <w:multiLevelType w:val="singleLevel"/>
    <w:tmpl w:val="40B249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7">
    <w:nsid w:val="46A08BB8"/>
    <w:multiLevelType w:val="singleLevel"/>
    <w:tmpl w:val="46A08B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8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9">
    <w:nsid w:val="4C3D7A74"/>
    <w:multiLevelType w:val="singleLevel"/>
    <w:tmpl w:val="4C3D7A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0">
    <w:nsid w:val="4D4DC07F"/>
    <w:multiLevelType w:val="singleLevel"/>
    <w:tmpl w:val="4D4DC07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1">
    <w:nsid w:val="4D94DA66"/>
    <w:multiLevelType w:val="singleLevel"/>
    <w:tmpl w:val="4D94DA6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2">
    <w:nsid w:val="58765686"/>
    <w:multiLevelType w:val="singleLevel"/>
    <w:tmpl w:val="5876568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3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4">
    <w:nsid w:val="59EEFD2A"/>
    <w:multiLevelType w:val="singleLevel"/>
    <w:tmpl w:val="59EEFD2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5">
    <w:nsid w:val="5A241D34"/>
    <w:multiLevelType w:val="singleLevel"/>
    <w:tmpl w:val="5A241D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6">
    <w:nsid w:val="5E29AB5A"/>
    <w:multiLevelType w:val="singleLevel"/>
    <w:tmpl w:val="5E29AB5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7">
    <w:nsid w:val="5FFFB1A7"/>
    <w:multiLevelType w:val="singleLevel"/>
    <w:tmpl w:val="5FFFB1A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8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9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0">
    <w:nsid w:val="65CD0074"/>
    <w:multiLevelType w:val="singleLevel"/>
    <w:tmpl w:val="65CD00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1">
    <w:nsid w:val="700FDCEF"/>
    <w:multiLevelType w:val="singleLevel"/>
    <w:tmpl w:val="700FDC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2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3">
    <w:nsid w:val="74C28B35"/>
    <w:multiLevelType w:val="singleLevel"/>
    <w:tmpl w:val="74C28B3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4">
    <w:nsid w:val="77633216"/>
    <w:multiLevelType w:val="singleLevel"/>
    <w:tmpl w:val="7763321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5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6">
    <w:nsid w:val="79AA4FA4"/>
    <w:multiLevelType w:val="singleLevel"/>
    <w:tmpl w:val="79AA4FA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7">
    <w:nsid w:val="7DEC2089"/>
    <w:multiLevelType w:val="singleLevel"/>
    <w:tmpl w:val="7DEC208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41"/>
  </w:num>
  <w:num w:numId="2">
    <w:abstractNumId w:val="28"/>
  </w:num>
  <w:num w:numId="3">
    <w:abstractNumId w:val="73"/>
  </w:num>
  <w:num w:numId="4">
    <w:abstractNumId w:val="25"/>
  </w:num>
  <w:num w:numId="5">
    <w:abstractNumId w:val="20"/>
  </w:num>
  <w:num w:numId="6">
    <w:abstractNumId w:val="44"/>
  </w:num>
  <w:num w:numId="7">
    <w:abstractNumId w:val="57"/>
  </w:num>
  <w:num w:numId="8">
    <w:abstractNumId w:val="82"/>
  </w:num>
  <w:num w:numId="9">
    <w:abstractNumId w:val="42"/>
  </w:num>
  <w:num w:numId="10">
    <w:abstractNumId w:val="6"/>
  </w:num>
  <w:num w:numId="11">
    <w:abstractNumId w:val="58"/>
  </w:num>
  <w:num w:numId="12">
    <w:abstractNumId w:val="75"/>
  </w:num>
  <w:num w:numId="13">
    <w:abstractNumId w:val="27"/>
  </w:num>
  <w:num w:numId="14">
    <w:abstractNumId w:val="70"/>
  </w:num>
  <w:num w:numId="15">
    <w:abstractNumId w:val="38"/>
  </w:num>
  <w:num w:numId="16">
    <w:abstractNumId w:val="56"/>
  </w:num>
  <w:num w:numId="17">
    <w:abstractNumId w:val="32"/>
  </w:num>
  <w:num w:numId="18">
    <w:abstractNumId w:val="30"/>
  </w:num>
  <w:num w:numId="19">
    <w:abstractNumId w:val="11"/>
  </w:num>
  <w:num w:numId="20">
    <w:abstractNumId w:val="68"/>
  </w:num>
  <w:num w:numId="21">
    <w:abstractNumId w:val="78"/>
  </w:num>
  <w:num w:numId="22">
    <w:abstractNumId w:val="47"/>
  </w:num>
  <w:num w:numId="23">
    <w:abstractNumId w:val="67"/>
  </w:num>
  <w:num w:numId="24">
    <w:abstractNumId w:val="17"/>
  </w:num>
  <w:num w:numId="25">
    <w:abstractNumId w:val="85"/>
  </w:num>
  <w:num w:numId="26">
    <w:abstractNumId w:val="24"/>
  </w:num>
  <w:num w:numId="27">
    <w:abstractNumId w:val="79"/>
  </w:num>
  <w:num w:numId="28">
    <w:abstractNumId w:val="7"/>
  </w:num>
  <w:num w:numId="29">
    <w:abstractNumId w:val="65"/>
  </w:num>
  <w:num w:numId="30">
    <w:abstractNumId w:val="2"/>
  </w:num>
  <w:num w:numId="31">
    <w:abstractNumId w:val="72"/>
  </w:num>
  <w:num w:numId="32">
    <w:abstractNumId w:val="87"/>
  </w:num>
  <w:num w:numId="33">
    <w:abstractNumId w:val="0"/>
  </w:num>
  <w:num w:numId="34">
    <w:abstractNumId w:val="55"/>
  </w:num>
  <w:num w:numId="35">
    <w:abstractNumId w:val="71"/>
  </w:num>
  <w:num w:numId="36">
    <w:abstractNumId w:val="39"/>
  </w:num>
  <w:num w:numId="37">
    <w:abstractNumId w:val="33"/>
  </w:num>
  <w:num w:numId="38">
    <w:abstractNumId w:val="61"/>
  </w:num>
  <w:num w:numId="39">
    <w:abstractNumId w:val="86"/>
  </w:num>
  <w:num w:numId="40">
    <w:abstractNumId w:val="22"/>
  </w:num>
  <w:num w:numId="41">
    <w:abstractNumId w:val="4"/>
  </w:num>
  <w:num w:numId="42">
    <w:abstractNumId w:val="76"/>
  </w:num>
  <w:num w:numId="43">
    <w:abstractNumId w:val="1"/>
  </w:num>
  <w:num w:numId="44">
    <w:abstractNumId w:val="51"/>
  </w:num>
  <w:num w:numId="45">
    <w:abstractNumId w:val="3"/>
  </w:num>
  <w:num w:numId="46">
    <w:abstractNumId w:val="77"/>
  </w:num>
  <w:num w:numId="47">
    <w:abstractNumId w:val="83"/>
  </w:num>
  <w:num w:numId="48">
    <w:abstractNumId w:val="69"/>
  </w:num>
  <w:num w:numId="49">
    <w:abstractNumId w:val="62"/>
  </w:num>
  <w:num w:numId="50">
    <w:abstractNumId w:val="80"/>
  </w:num>
  <w:num w:numId="51">
    <w:abstractNumId w:val="45"/>
  </w:num>
  <w:num w:numId="52">
    <w:abstractNumId w:val="46"/>
  </w:num>
  <w:num w:numId="53">
    <w:abstractNumId w:val="29"/>
  </w:num>
  <w:num w:numId="54">
    <w:abstractNumId w:val="63"/>
  </w:num>
  <w:num w:numId="55">
    <w:abstractNumId w:val="53"/>
  </w:num>
  <w:num w:numId="56">
    <w:abstractNumId w:val="37"/>
  </w:num>
  <w:num w:numId="57">
    <w:abstractNumId w:val="54"/>
  </w:num>
  <w:num w:numId="58">
    <w:abstractNumId w:val="19"/>
  </w:num>
  <w:num w:numId="59">
    <w:abstractNumId w:val="66"/>
  </w:num>
  <w:num w:numId="60">
    <w:abstractNumId w:val="48"/>
  </w:num>
  <w:num w:numId="61">
    <w:abstractNumId w:val="64"/>
  </w:num>
  <w:num w:numId="62">
    <w:abstractNumId w:val="43"/>
  </w:num>
  <w:num w:numId="63">
    <w:abstractNumId w:val="49"/>
  </w:num>
  <w:num w:numId="64">
    <w:abstractNumId w:val="18"/>
  </w:num>
  <w:num w:numId="65">
    <w:abstractNumId w:val="60"/>
  </w:num>
  <w:num w:numId="66">
    <w:abstractNumId w:val="40"/>
  </w:num>
  <w:num w:numId="67">
    <w:abstractNumId w:val="50"/>
  </w:num>
  <w:num w:numId="68">
    <w:abstractNumId w:val="81"/>
  </w:num>
  <w:num w:numId="69">
    <w:abstractNumId w:val="34"/>
  </w:num>
  <w:num w:numId="70">
    <w:abstractNumId w:val="26"/>
  </w:num>
  <w:num w:numId="71">
    <w:abstractNumId w:val="13"/>
  </w:num>
  <w:num w:numId="72">
    <w:abstractNumId w:val="84"/>
  </w:num>
  <w:num w:numId="73">
    <w:abstractNumId w:val="31"/>
  </w:num>
  <w:num w:numId="74">
    <w:abstractNumId w:val="21"/>
  </w:num>
  <w:num w:numId="75">
    <w:abstractNumId w:val="59"/>
  </w:num>
  <w:num w:numId="76">
    <w:abstractNumId w:val="35"/>
  </w:num>
  <w:num w:numId="77">
    <w:abstractNumId w:val="10"/>
  </w:num>
  <w:num w:numId="78">
    <w:abstractNumId w:val="74"/>
  </w:num>
  <w:num w:numId="79">
    <w:abstractNumId w:val="23"/>
  </w:num>
  <w:num w:numId="80">
    <w:abstractNumId w:val="16"/>
  </w:num>
  <w:num w:numId="81">
    <w:abstractNumId w:val="8"/>
  </w:num>
  <w:num w:numId="82">
    <w:abstractNumId w:val="12"/>
  </w:num>
  <w:num w:numId="83">
    <w:abstractNumId w:val="15"/>
  </w:num>
  <w:num w:numId="84">
    <w:abstractNumId w:val="5"/>
  </w:num>
  <w:num w:numId="85">
    <w:abstractNumId w:val="52"/>
  </w:num>
  <w:num w:numId="86">
    <w:abstractNumId w:val="14"/>
  </w:num>
  <w:num w:numId="87">
    <w:abstractNumId w:val="36"/>
  </w:num>
  <w:num w:numId="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MWYwYTA3Njc1MjhlNDE5OTMzNjA2MDlkZjJkYWYifQ=="/>
  </w:docVars>
  <w:rsids>
    <w:rsidRoot w:val="00000000"/>
    <w:rsid w:val="7E29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2026-08-26T02:41:22Z</dcterms:created>
  <dc:creator>Administrator</dc:creator>
  <cp:lastModifiedBy>唐睿</cp:lastModifiedBy>
  <cp:lastPrinted>2026-08-26T02:50:48Z</cp:lastPrinted>
  <dcterms:modified xsi:type="dcterms:W3CDTF">2026-08-26T03:12:10Z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5BFD61970F0340F6A398811A561CB802_12</vt:lpwstr>
  </property>
</Properties>
</file>