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2B19A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信创服务器、数据库及中间件整体技术参数方案</w:t>
      </w:r>
    </w:p>
    <w:p w14:paraId="1408ECBE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一、整体说明</w:t>
      </w:r>
      <w:bookmarkEnd w:id="0"/>
    </w:p>
    <w:p w14:paraId="3EE77F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本方案整合数据库服务器、门急诊输液系统应用服务器、国产企业级数据库、信创中间件全套技术参数，所有硬件设备为</w:t>
      </w:r>
      <w:r>
        <w:rPr>
          <w:rFonts w:ascii="Arial" w:hAnsi="Arial" w:eastAsia="等线" w:cs="Arial"/>
          <w:b/>
          <w:sz w:val="22"/>
        </w:rPr>
        <w:t>国产化自主研发、自主生产</w:t>
      </w:r>
      <w:r>
        <w:rPr>
          <w:rFonts w:ascii="Arial" w:hAnsi="Arial" w:eastAsia="等线" w:cs="Arial"/>
          <w:sz w:val="22"/>
        </w:rPr>
        <w:t>产品，适配国产信创操作系统，满足医疗行业业务高可用、高安全、高并发运行需求，参数全部满足招标及项目落地标准。</w:t>
      </w:r>
    </w:p>
    <w:p w14:paraId="6C567F7C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rFonts w:ascii="Arial" w:hAnsi="Arial" w:eastAsia="等线" w:cs="Arial"/>
          <w:b/>
          <w:sz w:val="32"/>
        </w:rPr>
      </w:pPr>
      <w:bookmarkStart w:id="1" w:name="heading_1"/>
      <w:r>
        <w:rPr>
          <w:rFonts w:ascii="Arial" w:hAnsi="Arial" w:eastAsia="等线" w:cs="Arial"/>
          <w:b/>
          <w:sz w:val="32"/>
        </w:rPr>
        <w:t>信创服务器硬件参数（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1</w:t>
      </w:r>
      <w:r>
        <w:rPr>
          <w:rFonts w:ascii="Arial" w:hAnsi="Arial" w:eastAsia="等线" w:cs="Arial"/>
          <w:b/>
          <w:sz w:val="32"/>
        </w:rPr>
        <w:t>台：门急诊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输液</w:t>
      </w:r>
      <w:r>
        <w:rPr>
          <w:rFonts w:ascii="Arial" w:hAnsi="Arial" w:eastAsia="等线" w:cs="Arial"/>
          <w:b/>
          <w:sz w:val="32"/>
        </w:rPr>
        <w:t>服务器）</w:t>
      </w:r>
      <w:bookmarkEnd w:id="1"/>
    </w:p>
    <w:p w14:paraId="11F9506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纯国产自主可控信创架构，适配医疗行业信创生态，满足7×24小时不间断运行</w:t>
      </w:r>
    </w:p>
    <w:tbl>
      <w:tblPr>
        <w:tblStyle w:val="2"/>
        <w:tblW w:w="8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1"/>
        <w:gridCol w:w="795"/>
        <w:gridCol w:w="5701"/>
        <w:gridCol w:w="1211"/>
      </w:tblGrid>
      <w:tr w14:paraId="2BCFF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Header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CF18F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4A899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技术参数项目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12EB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技术参数要求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6CDC1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参数属性</w:t>
            </w:r>
          </w:p>
        </w:tc>
      </w:tr>
      <w:tr w14:paraId="6D598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3A12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</w:t>
            </w:r>
          </w:p>
          <w:p w14:paraId="34AC2E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3E9FA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整机规格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871DB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采用1.2U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/2U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机架式国产化服务器，配套原厂专用安装导轨；整机为国产自主研发、自主生产，无海外核心技术依赖，完全适配国内信创软硬件生态，满足医疗场景长期稳定运行要求。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CE415A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38BB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D628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1DDFB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处理器配置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B3118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配置≥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颗国产高性能处理器，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>内核数≥64核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，基础主频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大于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GHz，高速缓存≥32MB；可充分满足数据库高并发计算、数据读写、事务处理，以及门急诊输液系统高频访问、多用户并发请求的算力需求。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0632D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7EA9E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E7EE0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48149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内存配置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D86F9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硬件最大支持≥32个内存插槽；本次实配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 xml:space="preserve">≥128GB DDR4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3200MHz企业级RECC内存，支持内存纠错、内存热备、故障隔离等高级功能，保障数据库及门急诊应用程序常驻运行，高并发业务运行无卡顿、无宕机。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EB199C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3C322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68C7A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6CBF4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硬盘扩展能力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26918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设备支持20块3.5英寸SAS/SATA热插拔硬盘，或≥39块2.5英寸热插拔硬盘，硬盘支持热插拔更换，无需停机即可完成硬盘维护，适配医疗业务不间断运维需求。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D8A62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一般项</w:t>
            </w:r>
          </w:p>
        </w:tc>
      </w:tr>
      <w:tr w14:paraId="622A9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263E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2D4DD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系统硬盘配置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6953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实配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>2块≥480G SSD高速系统盘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，可组建冗余阵列，保障服务器操作系统快速启动、稳定运行，降低系统故障概率。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A649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2BB80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EBA3D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D842B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数据库高速存储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35A27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实配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>≥2块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highlight w:val="yellow"/>
                <w:lang w:val="en-US" w:eastAsia="zh-CN" w:bidi="ar"/>
              </w:rPr>
              <w:t>TB SATA SSD高速硬盘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，用于数据库核心数据存储，大幅提升数据库数据读写速率，满足海量医疗数据存储、高频读写业务需求。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FFFA5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709A8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1692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62BE5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RAID阵列卡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EAD88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配置≥1块8通道高性能RAID卡，标配≥2GB高速缓存，搭载电容掉电保护模块；全面支持RAID 0/1/5/6/10/50/60主流阵列模式</w:t>
            </w:r>
            <w:bookmarkStart w:id="5" w:name="_GoBack"/>
            <w:bookmarkEnd w:id="5"/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；支持硬盘在线更换、数据在线扩容、RAID快速恢复功能，硬盘故障后可快速重建数据，保障医疗业务数据高可用、高容错。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D0FF1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71B72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FD120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9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8088D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网络配置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F12E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板载≥1组双万兆10Gb/s网口，支持OCP3.0热插拔网卡扩展；独立配置≥2个万兆光口（含原厂配套万兆模块）、≥2个千兆电口业务网口、1个独立千兆管理电口；业务流量与运维流量物理隔离；支持扩展多规格以太网卡，全面兼容IPv4、IPv6双栈网络协议，适配医院内网、专网多网络架构部署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7DADD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5CA0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142E2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10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F5D96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外设接口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5F38C9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板载≥4个USB接口，其中USB3.0接口≥3个；配备≥2个VGA视频接口，前置、后置面板各配置1个，满足设备现场调试、远程运维、实时监控等使用需求。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C40F1E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一般项</w:t>
            </w:r>
          </w:p>
        </w:tc>
      </w:tr>
      <w:tr w14:paraId="2E90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639EF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11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0D102D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设备扩展能力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F0498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支持≥5个PCIe 4.0高速扩展插槽，可灵活扩展加密卡、冗余网卡、高性能RAID卡等硬件设备，充分预留后期医院业务扩容、功能升级空间。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511BC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一般项</w:t>
            </w:r>
          </w:p>
        </w:tc>
      </w:tr>
      <w:tr w14:paraId="67DEE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EB33B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12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5BD40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电源模块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80F76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配置≥2个800W热插拔冗余电源模块，支持负载均衡、故障自动切换功能，可杜绝单点断电故障，保障设备7×24小时不间断稳定运行。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0F3D4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2CFE4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D04F6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13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32C11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散热系统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9DE53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配置≥4个热插拔冗余风扇，支持智能转速调节、风扇故障告警、单风扇故障不停机功能，可保障设备在数据库+应用双业务高负载运行状态下散热稳定，避免高温宕机。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170BD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一般项</w:t>
            </w:r>
          </w:p>
        </w:tc>
      </w:tr>
      <w:tr w14:paraId="26951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F70D95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14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4EAEA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操作系统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76089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预装永久授权正版国产信创服务器操作系统，适配国产化软硬件生态，兼容国产数据库、医疗业务应用系统，可提供对应正版授权证明，满足医疗信创合规运行要求。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6C493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  <w:tr w14:paraId="1C29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0" w:type="auto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6C755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15</w:t>
            </w:r>
          </w:p>
        </w:tc>
        <w:tc>
          <w:tcPr>
            <w:tcW w:w="795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01C0E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质保服务</w:t>
            </w:r>
          </w:p>
        </w:tc>
        <w:tc>
          <w:tcPr>
            <w:tcW w:w="570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BE5B64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提供原厂≥3年7×24小时硬件质保及上门运维服务，可提供原厂项目授权函、产品质保函，包含设备上架、硬件调试、系统部署、基础适配调试服务。</w:t>
            </w:r>
          </w:p>
        </w:tc>
        <w:tc>
          <w:tcPr>
            <w:tcW w:w="1211" w:type="dxa"/>
            <w:tcBorders>
              <w:top w:val="single" w:color="DEE0E3" w:sz="6" w:space="0"/>
              <w:left w:val="single" w:color="DEE0E3" w:sz="6" w:space="0"/>
              <w:bottom w:val="single" w:color="DEE0E3" w:sz="6" w:space="0"/>
              <w:right w:val="single" w:color="DEE0E3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8283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★关键项</w:t>
            </w:r>
          </w:p>
        </w:tc>
      </w:tr>
    </w:tbl>
    <w:p w14:paraId="1D3143D8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b/>
          <w:sz w:val="32"/>
        </w:rPr>
      </w:pPr>
    </w:p>
    <w:p w14:paraId="7CBF91D2">
      <w:pPr>
        <w:spacing w:before="320" w:after="120" w:line="288" w:lineRule="auto"/>
        <w:ind w:left="0"/>
        <w:jc w:val="left"/>
        <w:outlineLvl w:val="1"/>
      </w:pPr>
      <w:bookmarkStart w:id="2" w:name="heading_4"/>
      <w:r>
        <w:rPr>
          <w:rFonts w:ascii="Arial" w:hAnsi="Arial" w:eastAsia="等线" w:cs="Arial"/>
          <w:b/>
          <w:sz w:val="32"/>
        </w:rPr>
        <w:t>三、国产企业级数据库软件参数（1套，永久正版授权）</w:t>
      </w:r>
      <w:bookmarkEnd w:id="2"/>
    </w:p>
    <w:p w14:paraId="63D368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适配版本</w:t>
      </w:r>
      <w:r>
        <w:rPr>
          <w:rFonts w:ascii="Arial" w:hAnsi="Arial" w:eastAsia="等线" w:cs="Arial"/>
          <w:sz w:val="22"/>
        </w:rPr>
        <w:t>：支持人大金仓数据库V8.0专业版及以上、达梦数据库DM V8及以上、选用国产化信创数据库。</w:t>
      </w:r>
    </w:p>
    <w:p w14:paraId="4FD2E78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1. 厂商资质要求</w:t>
      </w:r>
    </w:p>
    <w:p w14:paraId="2DF7F5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数据库原厂商具备CMMI五级软件开发成熟度认证、CNAS中国软件过程及能力成熟度SPCA L5级评估资质，可提供加盖原厂公章的有效证书复印件。</w:t>
      </w:r>
    </w:p>
    <w:p w14:paraId="3077B4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2. 核心功能特性（带▲为关键强制指标）</w:t>
      </w:r>
    </w:p>
    <w:p w14:paraId="6B78F1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（1）支持用户表空间磁盘配置功能，可自主创建、修改用户表空间磁盘配额，提供CMA/CNAS认证第三方检测报告。</w:t>
      </w:r>
    </w:p>
    <w:p w14:paraId="55AA9F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（2）▲支持事务级临时表创建，可在临时表上建立函数索引，提升临时业务数据查询效率，提供CMA/CNAS第三方检测报告。</w:t>
      </w:r>
    </w:p>
    <w:p w14:paraId="0204A6E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（3）▲无触发器依赖，支持多表关联视图DML增删改查操作，简化业务开发逻辑，提供CMA/CNAS第三方检测报告。</w:t>
      </w:r>
    </w:p>
    <w:p w14:paraId="19DBC2E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（4）▲完全兼容Oracle WITH AS查询语法，支持SEARCH DEPTH FIRST深度优先、SEARCH BREADTH FIRST广度优先查询策略，平滑替代国外数据库，提供CMA/CNAS第三方检测报告。</w:t>
      </w:r>
    </w:p>
    <w:p w14:paraId="7D5C424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（5）▲支持多维度统计信息采样粒度，覆盖库级、模式级、表级、索引级、列级、数据页级，精准优化数据库查询性能，提供CMA/CNAS第三方检测报告。</w:t>
      </w:r>
    </w:p>
    <w:p w14:paraId="7174EF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（6）▲数据恢复容错机制，支持恢复过程中跳过归档日志异常包，保障数据恢复流程连续不中断，提升故障恢复成功率，提供CMA/CNAS第三方检测报告。</w:t>
      </w:r>
    </w:p>
    <w:p w14:paraId="689BA4F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（7）高性能审计能力：2000线程并发、持续15分钟，覆盖增删改查全业务场景下，开启审计功能后，每秒可记录审计日志≥11万条，数据库TPS性能损耗≤3%，兼顾安全审计与业务性能，提供CMA/CNAS第三方检测报告。</w:t>
      </w:r>
    </w:p>
    <w:p w14:paraId="631D88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（8）支持数据库在线运维，服务正常运行状态下可对联机日志文件进行扩容、缩容操作，无需停机维护，保障业务连续性，提供CMA/CNAS第三方检测报告。</w:t>
      </w:r>
    </w:p>
    <w:p w14:paraId="3547B1A8">
      <w:pPr>
        <w:spacing w:before="320" w:after="120" w:line="288" w:lineRule="auto"/>
        <w:ind w:left="0"/>
        <w:jc w:val="left"/>
        <w:outlineLvl w:val="1"/>
      </w:pPr>
      <w:bookmarkStart w:id="3" w:name="heading_5"/>
      <w:r>
        <w:rPr>
          <w:rFonts w:ascii="Arial" w:hAnsi="Arial" w:eastAsia="等线" w:cs="Arial"/>
          <w:b/>
          <w:sz w:val="32"/>
        </w:rPr>
        <w:t>四、信创中间件通用适配参数（配套信创环境）</w:t>
      </w:r>
      <w:bookmarkEnd w:id="3"/>
    </w:p>
    <w:p w14:paraId="5CAD1A8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配套国产自主可控中间件，100%原生自研、非开源封装，完全适配银河麒麟V10、国产数据库及国产化服务器硬件，满足医疗业务系统部署、运行、运维需求，核心参数如下：</w:t>
      </w:r>
    </w:p>
    <w:p w14:paraId="3E6333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1. 基础能力</w:t>
      </w:r>
      <w:r>
        <w:rPr>
          <w:rFonts w:ascii="Arial" w:hAnsi="Arial" w:eastAsia="等线" w:cs="Arial"/>
          <w:sz w:val="22"/>
        </w:rPr>
        <w:t>：支持Web应用、EJB应用部署，具备虚拟主机、应用集群、负载均衡、故障自愈能力，支持图形化运维监控、类库管理、JVM参数可视化配置。</w:t>
      </w:r>
    </w:p>
    <w:p w14:paraId="275D822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2. 生态兼容</w:t>
      </w:r>
      <w:r>
        <w:rPr>
          <w:rFonts w:ascii="Arial" w:hAnsi="Arial" w:eastAsia="等线" w:cs="Arial"/>
          <w:sz w:val="22"/>
        </w:rPr>
        <w:t>：全面兼容SpringBoot 1.X/2.X/3.X主流开发框架，适配国产CPU、国产操作系统、国产数据库全信创生态。</w:t>
      </w:r>
    </w:p>
    <w:p w14:paraId="0A4FD08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3. 安全能力</w:t>
      </w:r>
      <w:r>
        <w:rPr>
          <w:rFonts w:ascii="Arial" w:hAnsi="Arial" w:eastAsia="等线" w:cs="Arial"/>
          <w:sz w:val="22"/>
        </w:rPr>
        <w:t>：具备商用密码认证资质，支持用户身份鉴别、口令复杂度管控、登录失败锁定、双因子登录、数据传输加密，满足等保合规要求。</w:t>
      </w:r>
    </w:p>
    <w:p w14:paraId="73F8DF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4. 高可用特性</w:t>
      </w:r>
      <w:r>
        <w:rPr>
          <w:rFonts w:ascii="Arial" w:hAnsi="Arial" w:eastAsia="等线" w:cs="Arial"/>
          <w:sz w:val="22"/>
        </w:rPr>
        <w:t>：支持集群部署、会话共享、故障自动切换、灰度发布，支持日志分级审计、异常告警，保障业务7×24小时稳定运行。</w:t>
      </w:r>
    </w:p>
    <w:p w14:paraId="7D65C8A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5. 自主可控</w:t>
      </w:r>
      <w:r>
        <w:rPr>
          <w:rFonts w:ascii="Arial" w:hAnsi="Arial" w:eastAsia="等线" w:cs="Arial"/>
          <w:sz w:val="22"/>
        </w:rPr>
        <w:t>：核心模块源代码自主原创，可提供CNAS第三方源代码自主率检测报告，无开源后门风险，符合信创国产化替代要求。</w:t>
      </w:r>
    </w:p>
    <w:p w14:paraId="136F8F3F">
      <w:pPr>
        <w:spacing w:before="320" w:after="120" w:line="288" w:lineRule="auto"/>
        <w:ind w:left="0"/>
        <w:jc w:val="left"/>
        <w:outlineLvl w:val="1"/>
      </w:pPr>
      <w:bookmarkStart w:id="4" w:name="heading_6"/>
      <w:r>
        <w:rPr>
          <w:rFonts w:ascii="Arial" w:hAnsi="Arial" w:eastAsia="等线" w:cs="Arial"/>
          <w:b/>
          <w:sz w:val="32"/>
        </w:rPr>
        <w:t>五、整体交付清单</w:t>
      </w:r>
      <w:bookmarkEnd w:id="4"/>
    </w:p>
    <w:p w14:paraId="18F51B7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国产化服务器：1台：1台</w:t>
      </w:r>
    </w:p>
    <w:p w14:paraId="354E7502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2</w:t>
      </w:r>
      <w:r>
        <w:rPr>
          <w:rFonts w:ascii="Arial" w:hAnsi="Arial" w:eastAsia="等线" w:cs="Arial"/>
          <w:sz w:val="22"/>
        </w:rPr>
        <w:t>. 企业级国产数据库软件（永久正版授权）：1套</w:t>
      </w:r>
    </w:p>
    <w:p w14:paraId="0499415C">
      <w:p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3</w:t>
      </w:r>
      <w:r>
        <w:rPr>
          <w:rFonts w:ascii="Arial" w:hAnsi="Arial" w:eastAsia="等线" w:cs="Arial"/>
          <w:sz w:val="22"/>
        </w:rPr>
        <w:t>. 信创国产化中间件（适配整套环境）：1套</w:t>
      </w:r>
    </w:p>
    <w:p w14:paraId="1CC8C3BB">
      <w:pPr>
        <w:spacing w:before="120" w:after="120" w:line="288" w:lineRule="auto"/>
        <w:ind w:left="0"/>
        <w:jc w:val="left"/>
      </w:pPr>
    </w:p>
    <w:p w14:paraId="490DC3ED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A6C9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3CDA8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75470E"/>
    <w:multiLevelType w:val="singleLevel"/>
    <w:tmpl w:val="8A75470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MWYwYTA3Njc1MjhlNDE5OTMzNjA2MDlkZjJkYWYifQ=="/>
  </w:docVars>
  <w:rsids>
    <w:rsidRoot w:val="00000000"/>
    <w:rsid w:val="06D33953"/>
    <w:rsid w:val="63A962CE"/>
    <w:rsid w:val="7A2054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2489</Words>
  <Characters>2795</Characters>
  <TotalTime>271</TotalTime>
  <ScaleCrop>false</ScaleCrop>
  <LinksUpToDate>false</LinksUpToDate>
  <CharactersWithSpaces>2821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2026-08-20T09:25:00Z</dcterms:created>
  <dc:creator>Apache POI</dc:creator>
  <cp:lastModifiedBy>唐睿</cp:lastModifiedBy>
  <dcterms:modified xsi:type="dcterms:W3CDTF">2026-08-28T01:26:06Z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{"Label":"1","ContentProducer":"001191110102MACQD9K64010000","ProduceID":"7676042430777265089","ReservedCode1":"","ContentPropagator":"","PropagateID":"","ReservedCode2":""}</vt:lpwstr>
  </property>
  <property fmtid="{D5CDD505-2E9C-101B-9397-08002B2CF9AE}" pid="3" name="KSOProductBuildVer">
    <vt:lpwstr>2052-12.1.0.23125</vt:lpwstr>
  </property>
  <property fmtid="{D5CDD505-2E9C-101B-9397-08002B2CF9AE}" pid="4" name="ICV">
    <vt:lpwstr>2D11F70B9A464D1BBF962F86CC440886_13</vt:lpwstr>
  </property>
  <property fmtid="{D5CDD505-2E9C-101B-9397-08002B2CF9AE}" pid="5" name="KSOTemplateDocerSaveRecord">
    <vt:lpwstr>eyJoZGlkIjoiNDI1MWYwYTA3Njc1MjhlNDE5OTMzNjA2MDlkZjJkYWYiLCJ1c2VySWQiOiIxNTkzOTM5MjczIn0=</vt:lpwstr>
  </property>
</Properties>
</file>